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9644"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806"/>
      </w:tblGrid>
      <w:tr w:rsidR="00E10260" w:rsidRPr="003859AD" w:rsidTr="00F41154">
        <w:tc>
          <w:tcPr>
            <w:tcW w:w="1838" w:type="dxa"/>
          </w:tcPr>
          <w:p w:rsidR="00E10260" w:rsidRPr="00A41CEE" w:rsidRDefault="00E10260" w:rsidP="0034194F">
            <w:pPr>
              <w:rPr>
                <w:b/>
              </w:rPr>
            </w:pPr>
          </w:p>
        </w:tc>
        <w:tc>
          <w:tcPr>
            <w:tcW w:w="7806" w:type="dxa"/>
          </w:tcPr>
          <w:p w:rsidR="008D6EC7" w:rsidRPr="003859AD" w:rsidRDefault="008D6EC7" w:rsidP="0034194F">
            <w:pPr>
              <w:pStyle w:val="Titre6"/>
              <w:outlineLvl w:val="5"/>
            </w:pPr>
            <w:r w:rsidRPr="003859AD">
              <w:t xml:space="preserve">PROVINCE DE QUÉBEC                                                                                    </w:t>
            </w:r>
          </w:p>
          <w:p w:rsidR="008D6EC7" w:rsidRPr="003859AD" w:rsidRDefault="008D6EC7" w:rsidP="0034194F">
            <w:pPr>
              <w:pStyle w:val="Titre6"/>
              <w:outlineLvl w:val="5"/>
            </w:pPr>
            <w:r w:rsidRPr="003859AD">
              <w:t xml:space="preserve">MRC DES PAYS-D'EN-HAUT                                                </w:t>
            </w:r>
          </w:p>
          <w:p w:rsidR="008D6EC7" w:rsidRPr="003859AD" w:rsidRDefault="008D6EC7" w:rsidP="0034194F">
            <w:r w:rsidRPr="003859AD">
              <w:t>MUNICIPALITÉ DE LAC-DES-SEIZE-ÎLES</w:t>
            </w:r>
          </w:p>
          <w:p w:rsidR="008D6EC7" w:rsidRPr="003859AD" w:rsidRDefault="008D6EC7" w:rsidP="0034194F"/>
          <w:p w:rsidR="008D6EC7" w:rsidRPr="003859AD" w:rsidRDefault="008D6EC7" w:rsidP="0034194F"/>
          <w:p w:rsidR="008D6EC7" w:rsidRPr="003859AD" w:rsidRDefault="003859AD" w:rsidP="0034194F">
            <w:pPr>
              <w:pStyle w:val="Corpsdetexte2"/>
            </w:pPr>
            <w:r w:rsidRPr="003859AD">
              <w:t>S</w:t>
            </w:r>
            <w:r w:rsidR="008D6EC7" w:rsidRPr="003859AD">
              <w:t xml:space="preserve">éance </w:t>
            </w:r>
            <w:r w:rsidR="00B73CF1">
              <w:t>extra</w:t>
            </w:r>
            <w:r w:rsidR="008D6EC7" w:rsidRPr="003859AD">
              <w:t>ordinaire du Conseil de la Municipalité de Lac-des-Seize-Îles, tenue le</w:t>
            </w:r>
            <w:r w:rsidR="00EE7930">
              <w:t xml:space="preserve"> 13 </w:t>
            </w:r>
            <w:r w:rsidR="00EE7930" w:rsidRPr="00EE7930">
              <w:t>décembre</w:t>
            </w:r>
            <w:r w:rsidR="008D6EC7" w:rsidRPr="00EE7930">
              <w:t xml:space="preserve"> 2018 à </w:t>
            </w:r>
            <w:r w:rsidR="00B73CF1">
              <w:t>20</w:t>
            </w:r>
            <w:r w:rsidR="008D6EC7" w:rsidRPr="00EE7930">
              <w:t>h30 en la salle du Conseil, sise au 47, rue de l'Église</w:t>
            </w:r>
            <w:r w:rsidR="008D6EC7" w:rsidRPr="003859AD">
              <w:t>, Lac-des-Seize-Îles, lieu ordinaire des séances du conseil et conformément au code municipal, sont présents madame l</w:t>
            </w:r>
            <w:r w:rsidRPr="003859AD">
              <w:t>es</w:t>
            </w:r>
            <w:r w:rsidR="008D6EC7" w:rsidRPr="003859AD">
              <w:t xml:space="preserve"> conseillère</w:t>
            </w:r>
            <w:r w:rsidRPr="003859AD">
              <w:t>s Corina Lupu et</w:t>
            </w:r>
            <w:r w:rsidR="008D6EC7" w:rsidRPr="003859AD">
              <w:t xml:space="preserve"> France Robillard Pariseau, et messieurs les conseillers, David Estall, </w:t>
            </w:r>
            <w:r w:rsidRPr="003859AD">
              <w:t xml:space="preserve">Daniel Filiatrault, </w:t>
            </w:r>
            <w:r w:rsidR="008D6EC7" w:rsidRPr="003859AD">
              <w:t xml:space="preserve">Claude Pariseau et </w:t>
            </w:r>
            <w:r w:rsidRPr="003859AD">
              <w:t xml:space="preserve">Michel Roch </w:t>
            </w:r>
            <w:r w:rsidR="008D6EC7" w:rsidRPr="003859AD">
              <w:t xml:space="preserve">formant quorum sous la présidence de </w:t>
            </w:r>
            <w:r w:rsidR="00CF483B" w:rsidRPr="003859AD">
              <w:t>monsieur le maire</w:t>
            </w:r>
            <w:r w:rsidR="008D6EC7" w:rsidRPr="003859AD">
              <w:t xml:space="preserve">, </w:t>
            </w:r>
            <w:r w:rsidR="00CF483B" w:rsidRPr="003859AD">
              <w:t>René Pelletier</w:t>
            </w:r>
            <w:r w:rsidR="008D6EC7" w:rsidRPr="003859AD">
              <w:t xml:space="preserve">. </w:t>
            </w:r>
          </w:p>
          <w:p w:rsidR="008D6EC7" w:rsidRPr="003859AD" w:rsidRDefault="008D6EC7" w:rsidP="0034194F">
            <w:pPr>
              <w:pStyle w:val="Corpsdetexte2"/>
            </w:pPr>
          </w:p>
          <w:p w:rsidR="008D6EC7" w:rsidRPr="003859AD" w:rsidRDefault="008D6EC7" w:rsidP="0034194F">
            <w:pPr>
              <w:pStyle w:val="Corpsdetexte2"/>
            </w:pPr>
            <w:r w:rsidRPr="003859AD">
              <w:t>M</w:t>
            </w:r>
            <w:r w:rsidR="00EE7930">
              <w:t>adame</w:t>
            </w:r>
            <w:r w:rsidRPr="003859AD">
              <w:t xml:space="preserve"> </w:t>
            </w:r>
            <w:r w:rsidR="00EE7930">
              <w:t>Alison Drylie</w:t>
            </w:r>
            <w:r w:rsidRPr="003859AD">
              <w:t xml:space="preserve">, </w:t>
            </w:r>
            <w:r w:rsidR="00EE7930">
              <w:t>d</w:t>
            </w:r>
            <w:r w:rsidRPr="003859AD">
              <w:t>irect</w:t>
            </w:r>
            <w:r w:rsidR="00EE7930">
              <w:t>rice</w:t>
            </w:r>
            <w:r w:rsidRPr="003859AD">
              <w:t xml:space="preserve"> général</w:t>
            </w:r>
            <w:r w:rsidR="00EE7930">
              <w:t>e</w:t>
            </w:r>
            <w:r w:rsidRPr="003859AD">
              <w:t xml:space="preserve"> et secrétaire-trésori</w:t>
            </w:r>
            <w:r w:rsidR="00EE7930">
              <w:t>ère</w:t>
            </w:r>
            <w:r w:rsidRPr="003859AD">
              <w:t>, également présent</w:t>
            </w:r>
            <w:r w:rsidR="00EE7930">
              <w:t>e</w:t>
            </w:r>
            <w:r w:rsidRPr="003859AD">
              <w:t>, agit comme greffi</w:t>
            </w:r>
            <w:r w:rsidR="00EE7930">
              <w:t>ère</w:t>
            </w:r>
            <w:r w:rsidRPr="003859AD">
              <w:t>.</w:t>
            </w:r>
          </w:p>
          <w:p w:rsidR="008D6EC7" w:rsidRPr="003859AD" w:rsidRDefault="008D6EC7" w:rsidP="0034194F">
            <w:pPr>
              <w:pStyle w:val="Corpsdetexte2"/>
            </w:pPr>
          </w:p>
          <w:p w:rsidR="008D6EC7" w:rsidRPr="003859AD" w:rsidRDefault="008D6EC7" w:rsidP="0034194F">
            <w:pPr>
              <w:pStyle w:val="Corpsdetexte2"/>
            </w:pPr>
            <w:r w:rsidRPr="003859AD">
              <w:t xml:space="preserve">Absent : </w:t>
            </w:r>
            <w:r w:rsidR="00EE7930">
              <w:t>Michel Roch, conseiller</w:t>
            </w:r>
          </w:p>
          <w:p w:rsidR="00E10260" w:rsidRPr="003859AD" w:rsidRDefault="00E10260" w:rsidP="0034194F"/>
          <w:p w:rsidR="003859AD" w:rsidRPr="003859AD" w:rsidRDefault="003859AD" w:rsidP="0034194F"/>
          <w:p w:rsidR="00E10260" w:rsidRDefault="003859AD" w:rsidP="0034194F">
            <w:pPr>
              <w:rPr>
                <w:b/>
              </w:rPr>
            </w:pPr>
            <w:r w:rsidRPr="00394BF6">
              <w:rPr>
                <w:b/>
              </w:rPr>
              <w:t>ORDRE DU JOUR</w:t>
            </w:r>
          </w:p>
          <w:sdt>
            <w:sdtPr>
              <w:rPr>
                <w:rFonts w:ascii="Times New Roman" w:eastAsia="Times New Roman" w:hAnsi="Times New Roman" w:cs="Times New Roman"/>
                <w:color w:val="auto"/>
                <w:sz w:val="22"/>
                <w:szCs w:val="20"/>
                <w:lang w:val="fr-FR"/>
              </w:rPr>
              <w:id w:val="-2020158906"/>
              <w:docPartObj>
                <w:docPartGallery w:val="Table of Contents"/>
                <w:docPartUnique/>
              </w:docPartObj>
            </w:sdtPr>
            <w:sdtEndPr>
              <w:rPr>
                <w:b/>
                <w:bCs/>
              </w:rPr>
            </w:sdtEndPr>
            <w:sdtContent>
              <w:p w:rsidR="00394BF6" w:rsidRPr="003F2290" w:rsidRDefault="00394BF6" w:rsidP="00DA3617">
                <w:pPr>
                  <w:pStyle w:val="En-ttedetabledesmatires"/>
                  <w:rPr>
                    <w:b/>
                    <w:color w:val="000000" w:themeColor="text1"/>
                  </w:rPr>
                </w:pPr>
              </w:p>
              <w:p w:rsidR="00BD67F1" w:rsidRDefault="006F24AC">
                <w:pPr>
                  <w:pStyle w:val="TM1"/>
                  <w:tabs>
                    <w:tab w:val="left" w:pos="440"/>
                    <w:tab w:val="right" w:leader="dot" w:pos="9012"/>
                  </w:tabs>
                  <w:rPr>
                    <w:rFonts w:asciiTheme="minorHAnsi" w:eastAsiaTheme="minorEastAsia" w:hAnsiTheme="minorHAnsi" w:cstheme="minorBidi"/>
                    <w:noProof/>
                    <w:szCs w:val="22"/>
                  </w:rPr>
                </w:pPr>
                <w:r>
                  <w:fldChar w:fldCharType="begin"/>
                </w:r>
                <w:r>
                  <w:instrText xml:space="preserve"> TOC \o "1-3" \n \h \z \u </w:instrText>
                </w:r>
                <w:r>
                  <w:fldChar w:fldCharType="separate"/>
                </w:r>
                <w:hyperlink w:anchor="_Toc532300945" w:history="1">
                  <w:r w:rsidR="00BD67F1" w:rsidRPr="00955B53">
                    <w:rPr>
                      <w:rStyle w:val="Lienhypertexte"/>
                      <w:noProof/>
                    </w:rPr>
                    <w:t>1.</w:t>
                  </w:r>
                  <w:r w:rsidR="00BD67F1">
                    <w:rPr>
                      <w:rFonts w:asciiTheme="minorHAnsi" w:eastAsiaTheme="minorEastAsia" w:hAnsiTheme="minorHAnsi" w:cstheme="minorBidi"/>
                      <w:noProof/>
                      <w:szCs w:val="22"/>
                    </w:rPr>
                    <w:tab/>
                  </w:r>
                  <w:r w:rsidR="00BD67F1" w:rsidRPr="00955B53">
                    <w:rPr>
                      <w:rStyle w:val="Lienhypertexte"/>
                      <w:noProof/>
                    </w:rPr>
                    <w:t>OUVERTURE DE LA SÉANCE EXTRAORDINAIRE DU 13 DÉCEMBRE 2018</w:t>
                  </w:r>
                </w:hyperlink>
              </w:p>
              <w:p w:rsidR="00BD67F1" w:rsidRDefault="002A5CA4">
                <w:pPr>
                  <w:pStyle w:val="TM1"/>
                  <w:tabs>
                    <w:tab w:val="left" w:pos="440"/>
                    <w:tab w:val="right" w:leader="dot" w:pos="9012"/>
                  </w:tabs>
                  <w:rPr>
                    <w:rFonts w:asciiTheme="minorHAnsi" w:eastAsiaTheme="minorEastAsia" w:hAnsiTheme="minorHAnsi" w:cstheme="minorBidi"/>
                    <w:noProof/>
                    <w:szCs w:val="22"/>
                  </w:rPr>
                </w:pPr>
                <w:hyperlink w:anchor="_Toc532300946" w:history="1">
                  <w:r w:rsidR="00BD67F1" w:rsidRPr="00955B53">
                    <w:rPr>
                      <w:rStyle w:val="Lienhypertexte"/>
                      <w:noProof/>
                    </w:rPr>
                    <w:t>2.</w:t>
                  </w:r>
                  <w:r w:rsidR="00BD67F1">
                    <w:rPr>
                      <w:rFonts w:asciiTheme="minorHAnsi" w:eastAsiaTheme="minorEastAsia" w:hAnsiTheme="minorHAnsi" w:cstheme="minorBidi"/>
                      <w:noProof/>
                      <w:szCs w:val="22"/>
                    </w:rPr>
                    <w:tab/>
                  </w:r>
                  <w:r w:rsidR="00BD67F1" w:rsidRPr="00955B53">
                    <w:rPr>
                      <w:rStyle w:val="Lienhypertexte"/>
                      <w:noProof/>
                    </w:rPr>
                    <w:t>ADOPTION DE L’ORDRE DU JOUR DE LA SÉANCE EXTRAORDINAIRE</w:t>
                  </w:r>
                </w:hyperlink>
              </w:p>
              <w:p w:rsidR="00BD67F1" w:rsidRDefault="002A5CA4">
                <w:pPr>
                  <w:pStyle w:val="TM1"/>
                  <w:tabs>
                    <w:tab w:val="left" w:pos="440"/>
                    <w:tab w:val="right" w:leader="dot" w:pos="9012"/>
                  </w:tabs>
                  <w:rPr>
                    <w:rFonts w:asciiTheme="minorHAnsi" w:eastAsiaTheme="minorEastAsia" w:hAnsiTheme="minorHAnsi" w:cstheme="minorBidi"/>
                    <w:noProof/>
                    <w:szCs w:val="22"/>
                  </w:rPr>
                </w:pPr>
                <w:hyperlink w:anchor="_Toc532300947" w:history="1">
                  <w:r w:rsidR="00BD67F1" w:rsidRPr="00955B53">
                    <w:rPr>
                      <w:rStyle w:val="Lienhypertexte"/>
                      <w:noProof/>
                    </w:rPr>
                    <w:t>3.</w:t>
                  </w:r>
                  <w:r w:rsidR="00BD67F1">
                    <w:rPr>
                      <w:rFonts w:asciiTheme="minorHAnsi" w:eastAsiaTheme="minorEastAsia" w:hAnsiTheme="minorHAnsi" w:cstheme="minorBidi"/>
                      <w:noProof/>
                      <w:szCs w:val="22"/>
                    </w:rPr>
                    <w:tab/>
                  </w:r>
                  <w:r w:rsidR="00BD67F1" w:rsidRPr="00955B53">
                    <w:rPr>
                      <w:rStyle w:val="Lienhypertexte"/>
                      <w:noProof/>
                    </w:rPr>
                    <w:t>RÉCEPTION DE L’AVIS DE CONVOCATION – SÉANCE EXTRAORDINAIRE DU 13 DÉCEMBRE 2018</w:t>
                  </w:r>
                </w:hyperlink>
              </w:p>
              <w:p w:rsidR="00BD67F1" w:rsidRDefault="002A5CA4">
                <w:pPr>
                  <w:pStyle w:val="TM1"/>
                  <w:tabs>
                    <w:tab w:val="left" w:pos="440"/>
                    <w:tab w:val="right" w:leader="dot" w:pos="9012"/>
                  </w:tabs>
                  <w:rPr>
                    <w:rFonts w:asciiTheme="minorHAnsi" w:eastAsiaTheme="minorEastAsia" w:hAnsiTheme="minorHAnsi" w:cstheme="minorBidi"/>
                    <w:noProof/>
                    <w:szCs w:val="22"/>
                  </w:rPr>
                </w:pPr>
                <w:hyperlink w:anchor="_Toc532300948" w:history="1">
                  <w:r w:rsidR="00BD67F1" w:rsidRPr="00955B53">
                    <w:rPr>
                      <w:rStyle w:val="Lienhypertexte"/>
                      <w:noProof/>
                    </w:rPr>
                    <w:t>4.</w:t>
                  </w:r>
                  <w:r w:rsidR="00BD67F1">
                    <w:rPr>
                      <w:rFonts w:asciiTheme="minorHAnsi" w:eastAsiaTheme="minorEastAsia" w:hAnsiTheme="minorHAnsi" w:cstheme="minorBidi"/>
                      <w:noProof/>
                      <w:szCs w:val="22"/>
                    </w:rPr>
                    <w:tab/>
                  </w:r>
                  <w:r w:rsidR="00BD67F1" w:rsidRPr="00955B53">
                    <w:rPr>
                      <w:rStyle w:val="Lienhypertexte"/>
                      <w:noProof/>
                    </w:rPr>
                    <w:t>ADOPTION DES PRÉVISIONS BUDGÉTAIRES POUR L’EXERCICE FINANCIER 2019</w:t>
                  </w:r>
                </w:hyperlink>
              </w:p>
              <w:p w:rsidR="00BD67F1" w:rsidRDefault="002A5CA4">
                <w:pPr>
                  <w:pStyle w:val="TM1"/>
                  <w:tabs>
                    <w:tab w:val="left" w:pos="440"/>
                    <w:tab w:val="right" w:leader="dot" w:pos="9012"/>
                  </w:tabs>
                  <w:rPr>
                    <w:rFonts w:asciiTheme="minorHAnsi" w:eastAsiaTheme="minorEastAsia" w:hAnsiTheme="minorHAnsi" w:cstheme="minorBidi"/>
                    <w:noProof/>
                    <w:szCs w:val="22"/>
                  </w:rPr>
                </w:pPr>
                <w:hyperlink w:anchor="_Toc532300949" w:history="1">
                  <w:r w:rsidR="00BD67F1" w:rsidRPr="00955B53">
                    <w:rPr>
                      <w:rStyle w:val="Lienhypertexte"/>
                      <w:noProof/>
                    </w:rPr>
                    <w:t>5.</w:t>
                  </w:r>
                  <w:r w:rsidR="00BD67F1">
                    <w:rPr>
                      <w:rFonts w:asciiTheme="minorHAnsi" w:eastAsiaTheme="minorEastAsia" w:hAnsiTheme="minorHAnsi" w:cstheme="minorBidi"/>
                      <w:noProof/>
                      <w:szCs w:val="22"/>
                    </w:rPr>
                    <w:tab/>
                  </w:r>
                  <w:r w:rsidR="00BD67F1" w:rsidRPr="00955B53">
                    <w:rPr>
                      <w:rStyle w:val="Lienhypertexte"/>
                      <w:noProof/>
                    </w:rPr>
                    <w:t>ADOPTION DU PROGRAMME TRIENNAL D’IMMOBILISATIONS 2019-2020-2021</w:t>
                  </w:r>
                </w:hyperlink>
              </w:p>
              <w:p w:rsidR="00BD67F1" w:rsidRDefault="002A5CA4">
                <w:pPr>
                  <w:pStyle w:val="TM1"/>
                  <w:tabs>
                    <w:tab w:val="left" w:pos="440"/>
                    <w:tab w:val="right" w:leader="dot" w:pos="9012"/>
                  </w:tabs>
                  <w:rPr>
                    <w:rFonts w:asciiTheme="minorHAnsi" w:eastAsiaTheme="minorEastAsia" w:hAnsiTheme="minorHAnsi" w:cstheme="minorBidi"/>
                    <w:noProof/>
                    <w:szCs w:val="22"/>
                  </w:rPr>
                </w:pPr>
                <w:hyperlink w:anchor="_Toc532300950" w:history="1">
                  <w:r w:rsidR="00BD67F1" w:rsidRPr="00955B53">
                    <w:rPr>
                      <w:rStyle w:val="Lienhypertexte"/>
                      <w:noProof/>
                    </w:rPr>
                    <w:t>6.</w:t>
                  </w:r>
                  <w:r w:rsidR="00BD67F1">
                    <w:rPr>
                      <w:rFonts w:asciiTheme="minorHAnsi" w:eastAsiaTheme="minorEastAsia" w:hAnsiTheme="minorHAnsi" w:cstheme="minorBidi"/>
                      <w:noProof/>
                      <w:szCs w:val="22"/>
                    </w:rPr>
                    <w:tab/>
                  </w:r>
                  <w:r w:rsidR="00BD67F1" w:rsidRPr="00955B53">
                    <w:rPr>
                      <w:rStyle w:val="Lienhypertexte"/>
                      <w:noProof/>
                    </w:rPr>
                    <w:t>ADOPTION DU RÈGLEMENT  2018-12 – RÈGLEMENT ÉTABLISSANT LES TAUX DE TAXATION POUR l’EXERCICE FINANCIER 2019 AINSI QUE LES TAUX D’INTÉRÊT ET DE PÉNALITÉ AVEC DISPENSE DE LECTURE</w:t>
                  </w:r>
                </w:hyperlink>
              </w:p>
              <w:p w:rsidR="00BD67F1" w:rsidRDefault="002A5CA4">
                <w:pPr>
                  <w:pStyle w:val="TM1"/>
                  <w:tabs>
                    <w:tab w:val="left" w:pos="440"/>
                    <w:tab w:val="right" w:leader="dot" w:pos="9012"/>
                  </w:tabs>
                  <w:rPr>
                    <w:rFonts w:asciiTheme="minorHAnsi" w:eastAsiaTheme="minorEastAsia" w:hAnsiTheme="minorHAnsi" w:cstheme="minorBidi"/>
                    <w:noProof/>
                    <w:szCs w:val="22"/>
                  </w:rPr>
                </w:pPr>
                <w:hyperlink w:anchor="_Toc532300960" w:history="1">
                  <w:r w:rsidR="00BD67F1" w:rsidRPr="00955B53">
                    <w:rPr>
                      <w:rStyle w:val="Lienhypertexte"/>
                      <w:noProof/>
                    </w:rPr>
                    <w:t>7.</w:t>
                  </w:r>
                  <w:r w:rsidR="00BD67F1">
                    <w:rPr>
                      <w:rFonts w:asciiTheme="minorHAnsi" w:eastAsiaTheme="minorEastAsia" w:hAnsiTheme="minorHAnsi" w:cstheme="minorBidi"/>
                      <w:noProof/>
                      <w:szCs w:val="22"/>
                    </w:rPr>
                    <w:tab/>
                  </w:r>
                  <w:r w:rsidR="00BD67F1" w:rsidRPr="00955B53">
                    <w:rPr>
                      <w:rStyle w:val="Lienhypertexte"/>
                      <w:noProof/>
                    </w:rPr>
                    <w:t>PÉRIODE DE QUESTIONS</w:t>
                  </w:r>
                </w:hyperlink>
              </w:p>
              <w:p w:rsidR="00BD67F1" w:rsidRDefault="002A5CA4">
                <w:pPr>
                  <w:pStyle w:val="TM1"/>
                  <w:tabs>
                    <w:tab w:val="left" w:pos="440"/>
                    <w:tab w:val="right" w:leader="dot" w:pos="9012"/>
                  </w:tabs>
                  <w:rPr>
                    <w:rFonts w:asciiTheme="minorHAnsi" w:eastAsiaTheme="minorEastAsia" w:hAnsiTheme="minorHAnsi" w:cstheme="minorBidi"/>
                    <w:noProof/>
                    <w:szCs w:val="22"/>
                  </w:rPr>
                </w:pPr>
                <w:hyperlink w:anchor="_Toc532300961" w:history="1">
                  <w:r w:rsidR="00BD67F1" w:rsidRPr="00955B53">
                    <w:rPr>
                      <w:rStyle w:val="Lienhypertexte"/>
                      <w:noProof/>
                    </w:rPr>
                    <w:t>8.</w:t>
                  </w:r>
                  <w:r w:rsidR="00BD67F1">
                    <w:rPr>
                      <w:rFonts w:asciiTheme="minorHAnsi" w:eastAsiaTheme="minorEastAsia" w:hAnsiTheme="minorHAnsi" w:cstheme="minorBidi"/>
                      <w:noProof/>
                      <w:szCs w:val="22"/>
                    </w:rPr>
                    <w:tab/>
                  </w:r>
                  <w:r w:rsidR="00BD67F1" w:rsidRPr="00955B53">
                    <w:rPr>
                      <w:rStyle w:val="Lienhypertexte"/>
                      <w:noProof/>
                    </w:rPr>
                    <w:t>LEVÉE DE LA SÉANCE EXTRAORDINAIRE</w:t>
                  </w:r>
                </w:hyperlink>
              </w:p>
              <w:p w:rsidR="00394BF6" w:rsidRDefault="006F24AC">
                <w:r>
                  <w:fldChar w:fldCharType="end"/>
                </w:r>
              </w:p>
            </w:sdtContent>
          </w:sdt>
          <w:p w:rsidR="00E10260" w:rsidRDefault="00E10260" w:rsidP="0034194F"/>
          <w:p w:rsidR="003859AD" w:rsidRPr="00BA3545" w:rsidRDefault="003859AD" w:rsidP="00DA3617">
            <w:pPr>
              <w:pStyle w:val="Titre1"/>
              <w:outlineLvl w:val="0"/>
            </w:pPr>
            <w:bookmarkStart w:id="0" w:name="_Toc532300945"/>
            <w:r w:rsidRPr="003859AD">
              <w:t xml:space="preserve">OUVERTURE DE LA SÉANCE </w:t>
            </w:r>
            <w:r w:rsidR="00C76AA5">
              <w:t xml:space="preserve">EXTRAORDINAIRE </w:t>
            </w:r>
            <w:r w:rsidRPr="003859AD">
              <w:t xml:space="preserve">DU </w:t>
            </w:r>
            <w:r w:rsidRPr="00BA3545">
              <w:t>1</w:t>
            </w:r>
            <w:r w:rsidR="00C76AA5" w:rsidRPr="00BA3545">
              <w:t xml:space="preserve">3 DÉCEMBRE </w:t>
            </w:r>
            <w:r w:rsidRPr="00BA3545">
              <w:t>2018</w:t>
            </w:r>
            <w:bookmarkEnd w:id="0"/>
          </w:p>
          <w:p w:rsidR="003859AD" w:rsidRDefault="003859AD" w:rsidP="0034194F"/>
          <w:p w:rsidR="003859AD" w:rsidRDefault="003859AD" w:rsidP="0034194F">
            <w:r>
              <w:t xml:space="preserve">Monsieur le </w:t>
            </w:r>
            <w:r w:rsidRPr="0034194F">
              <w:t>maire</w:t>
            </w:r>
            <w:r>
              <w:t xml:space="preserve"> René Pelletier souhaite la bienvenue et ouvre la séance constatant le quorum à </w:t>
            </w:r>
            <w:r w:rsidR="00CA7DD0">
              <w:t>20</w:t>
            </w:r>
            <w:r>
              <w:t>h30.</w:t>
            </w:r>
          </w:p>
          <w:p w:rsidR="00E10260" w:rsidRPr="003859AD" w:rsidRDefault="00E10260" w:rsidP="0034194F"/>
        </w:tc>
      </w:tr>
      <w:tr w:rsidR="003859AD" w:rsidRPr="003859AD" w:rsidTr="00F41154">
        <w:tc>
          <w:tcPr>
            <w:tcW w:w="1838" w:type="dxa"/>
          </w:tcPr>
          <w:p w:rsidR="003859AD" w:rsidRPr="00A41CEE" w:rsidRDefault="00A41CEE" w:rsidP="0034194F">
            <w:pPr>
              <w:rPr>
                <w:b/>
              </w:rPr>
            </w:pPr>
            <w:r w:rsidRPr="00A41CEE">
              <w:rPr>
                <w:b/>
              </w:rPr>
              <w:t>2018-</w:t>
            </w:r>
            <w:r w:rsidR="00B833B6">
              <w:rPr>
                <w:b/>
              </w:rPr>
              <w:t>12-</w:t>
            </w:r>
            <w:r w:rsidR="005664F8">
              <w:rPr>
                <w:b/>
              </w:rPr>
              <w:t>216</w:t>
            </w:r>
          </w:p>
        </w:tc>
        <w:tc>
          <w:tcPr>
            <w:tcW w:w="7806" w:type="dxa"/>
          </w:tcPr>
          <w:p w:rsidR="003859AD" w:rsidRDefault="003859AD" w:rsidP="00DA3617">
            <w:pPr>
              <w:pStyle w:val="Titre1"/>
              <w:outlineLvl w:val="0"/>
            </w:pPr>
            <w:bookmarkStart w:id="1" w:name="_Toc532300946"/>
            <w:r>
              <w:t>ADOPTION DE L’ORDRE DU JOUR</w:t>
            </w:r>
            <w:r w:rsidR="00C76AA5">
              <w:t xml:space="preserve"> DE LA SÉANCE EXTRAORDINAIRE</w:t>
            </w:r>
            <w:bookmarkEnd w:id="1"/>
          </w:p>
          <w:p w:rsidR="003859AD" w:rsidRDefault="003859AD" w:rsidP="0034194F"/>
          <w:p w:rsidR="003859AD" w:rsidRDefault="0034194F" w:rsidP="0034194F">
            <w:r>
              <w:t xml:space="preserve">ATTENDU </w:t>
            </w:r>
            <w:r w:rsidR="006A05B3">
              <w:t>l</w:t>
            </w:r>
            <w:r w:rsidR="008E1920">
              <w:t>e projet d’</w:t>
            </w:r>
            <w:r w:rsidR="006A05B3">
              <w:t xml:space="preserve">ordre du jour </w:t>
            </w:r>
            <w:r w:rsidR="008E1920">
              <w:t>;</w:t>
            </w:r>
          </w:p>
          <w:p w:rsidR="00830818" w:rsidRDefault="00830818" w:rsidP="0034194F"/>
          <w:p w:rsidR="00830818" w:rsidRDefault="00830818" w:rsidP="0034194F">
            <w:r>
              <w:t>Par conséquent,</w:t>
            </w:r>
          </w:p>
          <w:p w:rsidR="0034194F" w:rsidRDefault="0034194F" w:rsidP="0034194F"/>
          <w:p w:rsidR="0034194F" w:rsidRDefault="008E1920" w:rsidP="0034194F">
            <w:r w:rsidRPr="008E1920">
              <w:t>IL EST DÛMENT PROPOSÉ</w:t>
            </w:r>
            <w:r>
              <w:t xml:space="preserve"> </w:t>
            </w:r>
            <w:r w:rsidR="0034194F">
              <w:t xml:space="preserve">par </w:t>
            </w:r>
            <w:r w:rsidR="0083559F">
              <w:t xml:space="preserve">Claude Pariseau </w:t>
            </w:r>
            <w:r w:rsidR="0034194F">
              <w:t xml:space="preserve">et unanimement résolu : </w:t>
            </w:r>
          </w:p>
          <w:p w:rsidR="0034194F" w:rsidRDefault="0034194F" w:rsidP="0034194F"/>
          <w:p w:rsidR="0034194F" w:rsidRDefault="008E1920" w:rsidP="0034194F">
            <w:r>
              <w:t>QUE</w:t>
            </w:r>
            <w:r w:rsidR="0034194F">
              <w:t xml:space="preserve"> l’ordre du jour </w:t>
            </w:r>
            <w:r w:rsidR="00C0246A">
              <w:t xml:space="preserve">de la séance extraordinaire du 13 décembre 2018 </w:t>
            </w:r>
            <w:r w:rsidR="0034194F">
              <w:t>soit et est approuvé tel que rédigé.</w:t>
            </w:r>
          </w:p>
          <w:p w:rsidR="00030BE5" w:rsidRDefault="00030BE5" w:rsidP="0034194F"/>
          <w:p w:rsidR="00F26B16" w:rsidRDefault="00F26B16" w:rsidP="0034194F"/>
          <w:p w:rsidR="00F26B16" w:rsidRDefault="00F26B16" w:rsidP="0034194F"/>
          <w:p w:rsidR="00F26B16" w:rsidRDefault="00F26B16" w:rsidP="0034194F"/>
          <w:p w:rsidR="00F26B16" w:rsidRPr="003859AD" w:rsidRDefault="00F26B16" w:rsidP="0034194F"/>
        </w:tc>
      </w:tr>
      <w:tr w:rsidR="0034194F" w:rsidRPr="003859AD" w:rsidTr="00F41154">
        <w:tc>
          <w:tcPr>
            <w:tcW w:w="1838" w:type="dxa"/>
          </w:tcPr>
          <w:p w:rsidR="0034194F" w:rsidRPr="00A41CEE" w:rsidRDefault="0034194F" w:rsidP="0034194F">
            <w:pPr>
              <w:rPr>
                <w:b/>
              </w:rPr>
            </w:pPr>
          </w:p>
        </w:tc>
        <w:tc>
          <w:tcPr>
            <w:tcW w:w="7806" w:type="dxa"/>
          </w:tcPr>
          <w:p w:rsidR="00394BF6" w:rsidRDefault="00C76AA5" w:rsidP="00394BF6">
            <w:pPr>
              <w:pStyle w:val="Titre1"/>
              <w:outlineLvl w:val="0"/>
            </w:pPr>
            <w:bookmarkStart w:id="2" w:name="_Toc532300947"/>
            <w:r>
              <w:t>RÉCEPTION DE L’AVIS DE CONVOCATION – SÉANCE EXTRAORDINAIRE DU 13 DÉCEMBRE 2018</w:t>
            </w:r>
            <w:bookmarkEnd w:id="2"/>
          </w:p>
          <w:p w:rsidR="00C76AA5" w:rsidRDefault="00C76AA5" w:rsidP="00C76AA5"/>
          <w:p w:rsidR="00896015" w:rsidRDefault="00776A97" w:rsidP="00C76AA5">
            <w:r>
              <w:t>Les</w:t>
            </w:r>
            <w:r w:rsidR="00C76AA5">
              <w:t xml:space="preserve"> membres présents du </w:t>
            </w:r>
            <w:r w:rsidR="00B132E2">
              <w:t>conseil</w:t>
            </w:r>
            <w:r w:rsidR="00C76AA5">
              <w:t xml:space="preserve"> reconnaissent avoir reçu leur avis de convocation pour la séance extraordinaire du 13 décembre 2018 à </w:t>
            </w:r>
            <w:r w:rsidR="00896015">
              <w:t>20</w:t>
            </w:r>
            <w:r w:rsidR="00C76AA5">
              <w:t xml:space="preserve"> h 30 conformément au Code municipal du Québec. </w:t>
            </w:r>
          </w:p>
          <w:p w:rsidR="00255D82" w:rsidRDefault="00255D82" w:rsidP="00C76AA5"/>
          <w:p w:rsidR="00C76AA5" w:rsidRDefault="00C76AA5" w:rsidP="00C76AA5">
            <w:r>
              <w:t>L’avis de convocation a été transmis à tous les membres du conseil le 15 novembre 2018.</w:t>
            </w:r>
            <w:r w:rsidR="00EC6B47">
              <w:t xml:space="preserve"> Un avis public a aussi été publié le 29 novembre 2018.</w:t>
            </w:r>
          </w:p>
          <w:p w:rsidR="004C7AAA" w:rsidRDefault="004C7AAA" w:rsidP="00D772B3"/>
        </w:tc>
      </w:tr>
      <w:tr w:rsidR="00394BF6" w:rsidRPr="003859AD" w:rsidTr="00F41154">
        <w:tc>
          <w:tcPr>
            <w:tcW w:w="1838" w:type="dxa"/>
          </w:tcPr>
          <w:p w:rsidR="00394BF6" w:rsidRPr="00A41CEE" w:rsidRDefault="005664F8" w:rsidP="0034194F">
            <w:pPr>
              <w:rPr>
                <w:b/>
              </w:rPr>
            </w:pPr>
            <w:r>
              <w:rPr>
                <w:b/>
              </w:rPr>
              <w:t>2018-12-217</w:t>
            </w:r>
          </w:p>
        </w:tc>
        <w:tc>
          <w:tcPr>
            <w:tcW w:w="7806" w:type="dxa"/>
          </w:tcPr>
          <w:p w:rsidR="00394BF6" w:rsidRPr="00DA3617" w:rsidRDefault="00122721" w:rsidP="00DA3617">
            <w:pPr>
              <w:pStyle w:val="Titre1"/>
              <w:outlineLvl w:val="0"/>
            </w:pPr>
            <w:bookmarkStart w:id="3" w:name="_Toc532300948"/>
            <w:r>
              <w:t>ADOPTION DES PRÉVISIONS BUDGÉTAIRES POUR L’EXERCICE FINANCIER 2019</w:t>
            </w:r>
            <w:bookmarkEnd w:id="3"/>
          </w:p>
          <w:p w:rsidR="00DA3617" w:rsidRDefault="00DA3617" w:rsidP="00DA3617"/>
          <w:p w:rsidR="00DA3617" w:rsidRDefault="003A7580" w:rsidP="00DA3617">
            <w:r>
              <w:t>ATTENDU le dépôt de</w:t>
            </w:r>
            <w:r w:rsidR="00122721">
              <w:t xml:space="preserve">s prévisions budgétaires 2019 </w:t>
            </w:r>
            <w:r>
              <w:t>par</w:t>
            </w:r>
            <w:r w:rsidR="00122721">
              <w:t xml:space="preserve"> la directrice générale et</w:t>
            </w:r>
            <w:r>
              <w:t xml:space="preserve"> secrétaire-trésori</w:t>
            </w:r>
            <w:r w:rsidR="00122721">
              <w:t>ère ;</w:t>
            </w:r>
          </w:p>
          <w:p w:rsidR="003A7580" w:rsidRDefault="003A7580" w:rsidP="00DA3617"/>
          <w:p w:rsidR="00494A1F" w:rsidRDefault="00494A1F" w:rsidP="00DA3617">
            <w:r>
              <w:t>Par conséquent,</w:t>
            </w:r>
          </w:p>
          <w:p w:rsidR="00494A1F" w:rsidRDefault="00494A1F" w:rsidP="00DA3617"/>
          <w:p w:rsidR="003A7580" w:rsidRDefault="003A7580" w:rsidP="003A7580">
            <w:r w:rsidRPr="008E1920">
              <w:t>IL EST DÛMENT PROPOSÉ</w:t>
            </w:r>
            <w:r>
              <w:t xml:space="preserve"> par</w:t>
            </w:r>
            <w:r w:rsidR="00275007">
              <w:t xml:space="preserve"> Daniel Filiatrault </w:t>
            </w:r>
            <w:r>
              <w:t xml:space="preserve">et unanimement résolu : </w:t>
            </w:r>
          </w:p>
          <w:p w:rsidR="003A7580" w:rsidRDefault="003A7580" w:rsidP="003A7580"/>
          <w:p w:rsidR="003A7580" w:rsidRDefault="003A7580" w:rsidP="003A7580">
            <w:r>
              <w:t xml:space="preserve">QUE le conseil </w:t>
            </w:r>
            <w:r w:rsidR="00122721">
              <w:t>adopte telles que présentées par la directrice générale et secrétaire trésorière, les prévisions budgétaires pour l’exercice financier 2019 telles que décrites ci-dessous, à savoir :</w:t>
            </w:r>
          </w:p>
          <w:p w:rsidR="0078073B" w:rsidRPr="0078073B" w:rsidRDefault="0078073B" w:rsidP="008A62CF">
            <w:pPr>
              <w:jc w:val="center"/>
              <w:rPr>
                <w:rFonts w:ascii="Arial" w:hAnsi="Arial" w:cs="Arial"/>
                <w:szCs w:val="22"/>
                <w:lang w:val="fr-FR"/>
              </w:rPr>
            </w:pPr>
          </w:p>
          <w:tbl>
            <w:tblPr>
              <w:tblStyle w:val="Trameclaire-Accent6"/>
              <w:tblW w:w="599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09"/>
              <w:gridCol w:w="1471"/>
              <w:gridCol w:w="1417"/>
            </w:tblGrid>
            <w:tr w:rsidR="0078073B" w:rsidRPr="0078073B" w:rsidTr="0078073B">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9" w:type="dxa"/>
                  <w:tcBorders>
                    <w:top w:val="single" w:sz="4" w:space="0" w:color="auto"/>
                    <w:left w:val="none" w:sz="0" w:space="0" w:color="auto"/>
                    <w:bottom w:val="single" w:sz="4" w:space="0" w:color="auto"/>
                    <w:right w:val="single" w:sz="4" w:space="0" w:color="auto"/>
                  </w:tcBorders>
                  <w:shd w:val="clear" w:color="auto" w:fill="474747" w:themeFill="accent5" w:themeFillShade="BF"/>
                  <w:vAlign w:val="center"/>
                </w:tcPr>
                <w:p w:rsidR="0078073B" w:rsidRPr="0078073B" w:rsidRDefault="0078073B" w:rsidP="008A62CF">
                  <w:pPr>
                    <w:rPr>
                      <w:rFonts w:ascii="Arial" w:hAnsi="Arial" w:cs="Arial"/>
                      <w:color w:val="FFFFFF" w:themeColor="background1"/>
                      <w:szCs w:val="22"/>
                      <w:lang w:val="fr-FR"/>
                    </w:rPr>
                  </w:pPr>
                  <w:r w:rsidRPr="0078073B">
                    <w:rPr>
                      <w:rFonts w:ascii="Arial" w:hAnsi="Arial" w:cs="Arial"/>
                      <w:color w:val="FFFFFF" w:themeColor="background1"/>
                      <w:szCs w:val="22"/>
                      <w:lang w:val="fr-FR"/>
                    </w:rPr>
                    <w:t>Revenus</w:t>
                  </w:r>
                </w:p>
              </w:tc>
              <w:tc>
                <w:tcPr>
                  <w:tcW w:w="1471" w:type="dxa"/>
                  <w:tcBorders>
                    <w:top w:val="none" w:sz="0" w:space="0" w:color="auto"/>
                    <w:left w:val="single" w:sz="4" w:space="0" w:color="auto"/>
                    <w:bottom w:val="none" w:sz="0" w:space="0" w:color="auto"/>
                    <w:right w:val="none" w:sz="0" w:space="0" w:color="auto"/>
                  </w:tcBorders>
                  <w:shd w:val="clear" w:color="auto" w:fill="474747" w:themeFill="accent5" w:themeFillShade="BF"/>
                  <w:vAlign w:val="center"/>
                </w:tcPr>
                <w:p w:rsidR="0078073B" w:rsidRPr="0078073B" w:rsidRDefault="0078073B" w:rsidP="008A62CF">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Cs w:val="22"/>
                      <w:lang w:val="fr-FR"/>
                    </w:rPr>
                  </w:pPr>
                  <w:r w:rsidRPr="0078073B">
                    <w:rPr>
                      <w:rFonts w:ascii="Arial" w:hAnsi="Arial" w:cs="Arial"/>
                      <w:color w:val="FFFFFF" w:themeColor="background1"/>
                      <w:szCs w:val="22"/>
                      <w:lang w:val="fr-FR"/>
                    </w:rPr>
                    <w:t>2018</w:t>
                  </w:r>
                </w:p>
              </w:tc>
              <w:tc>
                <w:tcPr>
                  <w:tcW w:w="1417" w:type="dxa"/>
                  <w:tcBorders>
                    <w:top w:val="none" w:sz="0" w:space="0" w:color="auto"/>
                    <w:left w:val="none" w:sz="0" w:space="0" w:color="auto"/>
                    <w:bottom w:val="none" w:sz="0" w:space="0" w:color="auto"/>
                    <w:right w:val="none" w:sz="0" w:space="0" w:color="auto"/>
                  </w:tcBorders>
                  <w:shd w:val="clear" w:color="auto" w:fill="474747" w:themeFill="accent5" w:themeFillShade="BF"/>
                  <w:vAlign w:val="center"/>
                </w:tcPr>
                <w:p w:rsidR="0078073B" w:rsidRPr="0078073B" w:rsidRDefault="0078073B" w:rsidP="008A62CF">
                  <w:pPr>
                    <w:jc w:val="right"/>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Cs w:val="22"/>
                      <w:lang w:val="fr-FR"/>
                    </w:rPr>
                  </w:pPr>
                  <w:r w:rsidRPr="0078073B">
                    <w:rPr>
                      <w:rFonts w:ascii="Arial" w:hAnsi="Arial" w:cs="Arial"/>
                      <w:color w:val="FFFFFF" w:themeColor="background1"/>
                      <w:szCs w:val="22"/>
                      <w:lang w:val="fr-FR"/>
                    </w:rPr>
                    <w:t>2019</w:t>
                  </w:r>
                </w:p>
              </w:tc>
            </w:tr>
            <w:tr w:rsidR="0078073B" w:rsidRPr="0078073B" w:rsidTr="0078073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09" w:type="dxa"/>
                  <w:tcBorders>
                    <w:top w:val="single" w:sz="4" w:space="0" w:color="auto"/>
                    <w:left w:val="none" w:sz="0" w:space="0" w:color="auto"/>
                    <w:right w:val="none" w:sz="0" w:space="0" w:color="auto"/>
                  </w:tcBorders>
                </w:tcPr>
                <w:p w:rsidR="0078073B" w:rsidRPr="0027042E" w:rsidRDefault="0078073B" w:rsidP="008A62CF">
                  <w:pPr>
                    <w:ind w:left="170"/>
                    <w:rPr>
                      <w:rFonts w:ascii="Arial Narrow" w:hAnsi="Arial Narrow" w:cs="Arial"/>
                      <w:color w:val="auto"/>
                      <w:sz w:val="18"/>
                      <w:szCs w:val="18"/>
                      <w:lang w:val="fr-FR"/>
                    </w:rPr>
                  </w:pPr>
                  <w:r w:rsidRPr="0027042E">
                    <w:rPr>
                      <w:rFonts w:ascii="Arial Narrow" w:hAnsi="Arial Narrow" w:cs="Arial"/>
                      <w:color w:val="auto"/>
                      <w:sz w:val="18"/>
                      <w:szCs w:val="18"/>
                      <w:lang w:val="fr-FR"/>
                    </w:rPr>
                    <w:t>Taxes foncières générales</w:t>
                  </w:r>
                </w:p>
              </w:tc>
              <w:tc>
                <w:tcPr>
                  <w:tcW w:w="1471"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829 947</w:t>
                  </w:r>
                </w:p>
              </w:tc>
              <w:tc>
                <w:tcPr>
                  <w:tcW w:w="1417"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904 200</w:t>
                  </w:r>
                </w:p>
              </w:tc>
            </w:tr>
            <w:tr w:rsidR="0078073B" w:rsidRPr="0078073B" w:rsidTr="0078073B">
              <w:trPr>
                <w:trHeight w:val="284"/>
              </w:trPr>
              <w:tc>
                <w:tcPr>
                  <w:cnfStyle w:val="001000000000" w:firstRow="0" w:lastRow="0" w:firstColumn="1" w:lastColumn="0" w:oddVBand="0" w:evenVBand="0" w:oddHBand="0" w:evenHBand="0" w:firstRowFirstColumn="0" w:firstRowLastColumn="0" w:lastRowFirstColumn="0" w:lastRowLastColumn="0"/>
                  <w:tcW w:w="3109" w:type="dxa"/>
                </w:tcPr>
                <w:p w:rsidR="0078073B" w:rsidRPr="0027042E" w:rsidRDefault="0078073B" w:rsidP="008A62CF">
                  <w:pPr>
                    <w:ind w:left="170"/>
                    <w:rPr>
                      <w:rFonts w:ascii="Arial Narrow" w:hAnsi="Arial Narrow" w:cs="Arial"/>
                      <w:color w:val="auto"/>
                      <w:sz w:val="18"/>
                      <w:szCs w:val="18"/>
                      <w:lang w:val="fr-FR"/>
                    </w:rPr>
                  </w:pPr>
                  <w:r w:rsidRPr="0027042E">
                    <w:rPr>
                      <w:rFonts w:ascii="Arial Narrow" w:hAnsi="Arial Narrow" w:cs="Arial"/>
                      <w:color w:val="auto"/>
                      <w:sz w:val="18"/>
                      <w:szCs w:val="18"/>
                      <w:lang w:val="fr-FR"/>
                    </w:rPr>
                    <w:t>Taxes environnement</w:t>
                  </w:r>
                </w:p>
              </w:tc>
              <w:tc>
                <w:tcPr>
                  <w:tcW w:w="1471"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12 595</w:t>
                  </w:r>
                </w:p>
              </w:tc>
              <w:tc>
                <w:tcPr>
                  <w:tcW w:w="1417"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15 200</w:t>
                  </w:r>
                </w:p>
              </w:tc>
            </w:tr>
            <w:tr w:rsidR="0078073B" w:rsidRPr="0078073B" w:rsidTr="0078073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09" w:type="dxa"/>
                  <w:tcBorders>
                    <w:left w:val="none" w:sz="0" w:space="0" w:color="auto"/>
                    <w:right w:val="none" w:sz="0" w:space="0" w:color="auto"/>
                  </w:tcBorders>
                </w:tcPr>
                <w:p w:rsidR="0078073B" w:rsidRPr="0027042E" w:rsidRDefault="0078073B" w:rsidP="008A62CF">
                  <w:pPr>
                    <w:ind w:left="170"/>
                    <w:rPr>
                      <w:rFonts w:ascii="Arial Narrow" w:hAnsi="Arial Narrow" w:cs="Arial"/>
                      <w:color w:val="auto"/>
                      <w:sz w:val="18"/>
                      <w:szCs w:val="18"/>
                      <w:lang w:val="fr-FR"/>
                    </w:rPr>
                  </w:pPr>
                  <w:r w:rsidRPr="0027042E">
                    <w:rPr>
                      <w:rFonts w:ascii="Arial Narrow" w:hAnsi="Arial Narrow" w:cs="Arial"/>
                      <w:color w:val="auto"/>
                      <w:sz w:val="18"/>
                      <w:szCs w:val="18"/>
                      <w:lang w:val="fr-FR"/>
                    </w:rPr>
                    <w:t>Matières résiduelles</w:t>
                  </w:r>
                </w:p>
              </w:tc>
              <w:tc>
                <w:tcPr>
                  <w:tcW w:w="1471"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108 420</w:t>
                  </w:r>
                </w:p>
              </w:tc>
              <w:tc>
                <w:tcPr>
                  <w:tcW w:w="1417"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74 340</w:t>
                  </w:r>
                </w:p>
              </w:tc>
            </w:tr>
            <w:tr w:rsidR="0078073B" w:rsidRPr="0078073B" w:rsidTr="0078073B">
              <w:trPr>
                <w:trHeight w:val="284"/>
              </w:trPr>
              <w:tc>
                <w:tcPr>
                  <w:cnfStyle w:val="001000000000" w:firstRow="0" w:lastRow="0" w:firstColumn="1" w:lastColumn="0" w:oddVBand="0" w:evenVBand="0" w:oddHBand="0" w:evenHBand="0" w:firstRowFirstColumn="0" w:firstRowLastColumn="0" w:lastRowFirstColumn="0" w:lastRowLastColumn="0"/>
                  <w:tcW w:w="3109" w:type="dxa"/>
                </w:tcPr>
                <w:p w:rsidR="0078073B" w:rsidRPr="0027042E" w:rsidRDefault="0078073B" w:rsidP="008A62CF">
                  <w:pPr>
                    <w:ind w:left="170"/>
                    <w:rPr>
                      <w:rFonts w:ascii="Arial Narrow" w:hAnsi="Arial Narrow" w:cs="Arial"/>
                      <w:color w:val="auto"/>
                      <w:sz w:val="18"/>
                      <w:szCs w:val="18"/>
                      <w:lang w:val="fr-FR"/>
                    </w:rPr>
                  </w:pPr>
                  <w:r w:rsidRPr="0027042E">
                    <w:rPr>
                      <w:rFonts w:ascii="Arial Narrow" w:hAnsi="Arial Narrow" w:cs="Arial"/>
                      <w:color w:val="auto"/>
                      <w:sz w:val="18"/>
                      <w:szCs w:val="18"/>
                      <w:lang w:val="fr-FR"/>
                    </w:rPr>
                    <w:t>Compensation déneigement – chemins et rues privées</w:t>
                  </w:r>
                </w:p>
              </w:tc>
              <w:tc>
                <w:tcPr>
                  <w:tcW w:w="1471"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3 600</w:t>
                  </w:r>
                </w:p>
              </w:tc>
              <w:tc>
                <w:tcPr>
                  <w:tcW w:w="1417"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3 800</w:t>
                  </w:r>
                </w:p>
              </w:tc>
            </w:tr>
            <w:tr w:rsidR="0078073B" w:rsidRPr="0078073B" w:rsidTr="0078073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09" w:type="dxa"/>
                  <w:tcBorders>
                    <w:left w:val="none" w:sz="0" w:space="0" w:color="auto"/>
                    <w:right w:val="none" w:sz="0" w:space="0" w:color="auto"/>
                  </w:tcBorders>
                </w:tcPr>
                <w:p w:rsidR="0078073B" w:rsidRPr="0027042E" w:rsidRDefault="0078073B" w:rsidP="008A62CF">
                  <w:pPr>
                    <w:ind w:left="170"/>
                    <w:rPr>
                      <w:rFonts w:ascii="Arial Narrow" w:hAnsi="Arial Narrow" w:cs="Arial"/>
                      <w:color w:val="auto"/>
                      <w:sz w:val="18"/>
                      <w:szCs w:val="18"/>
                      <w:lang w:val="fr-FR"/>
                    </w:rPr>
                  </w:pPr>
                  <w:r w:rsidRPr="0027042E">
                    <w:rPr>
                      <w:rFonts w:ascii="Arial Narrow" w:hAnsi="Arial Narrow" w:cs="Arial"/>
                      <w:color w:val="auto"/>
                      <w:sz w:val="18"/>
                      <w:szCs w:val="18"/>
                      <w:lang w:val="fr-FR"/>
                    </w:rPr>
                    <w:t>Compensation tenant lieu de taxes – terre publique</w:t>
                  </w:r>
                </w:p>
              </w:tc>
              <w:tc>
                <w:tcPr>
                  <w:tcW w:w="1471"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83</w:t>
                  </w:r>
                </w:p>
              </w:tc>
              <w:tc>
                <w:tcPr>
                  <w:tcW w:w="1417"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83</w:t>
                  </w:r>
                </w:p>
              </w:tc>
            </w:tr>
            <w:tr w:rsidR="0078073B" w:rsidRPr="0078073B" w:rsidTr="0078073B">
              <w:trPr>
                <w:trHeight w:val="284"/>
              </w:trPr>
              <w:tc>
                <w:tcPr>
                  <w:cnfStyle w:val="001000000000" w:firstRow="0" w:lastRow="0" w:firstColumn="1" w:lastColumn="0" w:oddVBand="0" w:evenVBand="0" w:oddHBand="0" w:evenHBand="0" w:firstRowFirstColumn="0" w:firstRowLastColumn="0" w:lastRowFirstColumn="0" w:lastRowLastColumn="0"/>
                  <w:tcW w:w="3109" w:type="dxa"/>
                </w:tcPr>
                <w:p w:rsidR="0078073B" w:rsidRPr="0027042E" w:rsidRDefault="0078073B" w:rsidP="008A62CF">
                  <w:pPr>
                    <w:ind w:left="170"/>
                    <w:rPr>
                      <w:rFonts w:ascii="Arial Narrow" w:hAnsi="Arial Narrow" w:cs="Arial"/>
                      <w:color w:val="auto"/>
                      <w:sz w:val="18"/>
                      <w:szCs w:val="18"/>
                      <w:lang w:val="fr-FR"/>
                    </w:rPr>
                  </w:pPr>
                  <w:r w:rsidRPr="0027042E">
                    <w:rPr>
                      <w:rFonts w:ascii="Arial Narrow" w:hAnsi="Arial Narrow" w:cs="Arial"/>
                      <w:color w:val="auto"/>
                      <w:sz w:val="18"/>
                      <w:szCs w:val="18"/>
                      <w:lang w:val="fr-FR"/>
                    </w:rPr>
                    <w:t>Autres revenus</w:t>
                  </w:r>
                </w:p>
              </w:tc>
              <w:tc>
                <w:tcPr>
                  <w:tcW w:w="1471"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u w:val="single"/>
                      <w:lang w:val="fr-FR"/>
                    </w:rPr>
                  </w:pPr>
                  <w:r w:rsidRPr="0078073B">
                    <w:rPr>
                      <w:rFonts w:ascii="Arial Narrow" w:hAnsi="Arial Narrow" w:cs="Arial"/>
                      <w:sz w:val="18"/>
                      <w:szCs w:val="18"/>
                      <w:u w:val="single"/>
                      <w:lang w:val="fr-FR"/>
                    </w:rPr>
                    <w:t>54 810</w:t>
                  </w:r>
                </w:p>
              </w:tc>
              <w:tc>
                <w:tcPr>
                  <w:tcW w:w="1417"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u w:val="single"/>
                      <w:lang w:val="fr-FR"/>
                    </w:rPr>
                  </w:pPr>
                  <w:r w:rsidRPr="0078073B">
                    <w:rPr>
                      <w:rFonts w:ascii="Arial Narrow" w:hAnsi="Arial Narrow" w:cs="Arial"/>
                      <w:sz w:val="18"/>
                      <w:szCs w:val="18"/>
                      <w:u w:val="single"/>
                      <w:lang w:val="fr-FR"/>
                    </w:rPr>
                    <w:t>38 525</w:t>
                  </w:r>
                </w:p>
              </w:tc>
            </w:tr>
            <w:tr w:rsidR="0078073B" w:rsidRPr="0078073B" w:rsidTr="0078073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09" w:type="dxa"/>
                  <w:tcBorders>
                    <w:left w:val="none" w:sz="0" w:space="0" w:color="auto"/>
                    <w:right w:val="none" w:sz="0" w:space="0" w:color="auto"/>
                  </w:tcBorders>
                </w:tcPr>
                <w:p w:rsidR="0078073B" w:rsidRPr="0027042E" w:rsidRDefault="0078073B" w:rsidP="008A62CF">
                  <w:pPr>
                    <w:rPr>
                      <w:rFonts w:ascii="Arial Narrow" w:hAnsi="Arial Narrow" w:cs="Arial"/>
                      <w:color w:val="auto"/>
                      <w:sz w:val="18"/>
                      <w:szCs w:val="18"/>
                      <w:lang w:val="fr-FR"/>
                    </w:rPr>
                  </w:pPr>
                  <w:r w:rsidRPr="0027042E">
                    <w:rPr>
                      <w:rFonts w:ascii="Arial Narrow" w:hAnsi="Arial Narrow" w:cs="Arial"/>
                      <w:color w:val="auto"/>
                      <w:sz w:val="18"/>
                      <w:szCs w:val="18"/>
                      <w:lang w:val="fr-FR"/>
                    </w:rPr>
                    <w:t>TOTAL – Revenus</w:t>
                  </w:r>
                </w:p>
              </w:tc>
              <w:tc>
                <w:tcPr>
                  <w:tcW w:w="1471"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sz w:val="18"/>
                      <w:szCs w:val="18"/>
                      <w:u w:val="single"/>
                      <w:lang w:val="fr-FR"/>
                    </w:rPr>
                  </w:pPr>
                  <w:r w:rsidRPr="0078073B">
                    <w:rPr>
                      <w:rFonts w:ascii="Arial Narrow" w:hAnsi="Arial Narrow" w:cs="Arial"/>
                      <w:b/>
                      <w:sz w:val="18"/>
                      <w:szCs w:val="18"/>
                      <w:u w:val="single"/>
                      <w:lang w:val="fr-FR"/>
                    </w:rPr>
                    <w:t>1 009 455 $</w:t>
                  </w:r>
                </w:p>
              </w:tc>
              <w:tc>
                <w:tcPr>
                  <w:tcW w:w="1417"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sz w:val="18"/>
                      <w:szCs w:val="18"/>
                      <w:u w:val="single"/>
                      <w:lang w:val="fr-FR"/>
                    </w:rPr>
                  </w:pPr>
                  <w:r w:rsidRPr="0078073B">
                    <w:rPr>
                      <w:rFonts w:ascii="Arial Narrow" w:hAnsi="Arial Narrow" w:cs="Arial"/>
                      <w:b/>
                      <w:sz w:val="18"/>
                      <w:szCs w:val="18"/>
                      <w:u w:val="single"/>
                      <w:lang w:val="fr-FR"/>
                    </w:rPr>
                    <w:t>1 036 148 $</w:t>
                  </w:r>
                </w:p>
              </w:tc>
            </w:tr>
            <w:tr w:rsidR="0078073B" w:rsidRPr="0078073B" w:rsidTr="0078073B">
              <w:trPr>
                <w:trHeight w:val="284"/>
              </w:trPr>
              <w:tc>
                <w:tcPr>
                  <w:cnfStyle w:val="001000000000" w:firstRow="0" w:lastRow="0" w:firstColumn="1" w:lastColumn="0" w:oddVBand="0" w:evenVBand="0" w:oddHBand="0" w:evenHBand="0" w:firstRowFirstColumn="0" w:firstRowLastColumn="0" w:lastRowFirstColumn="0" w:lastRowLastColumn="0"/>
                  <w:tcW w:w="3109" w:type="dxa"/>
                </w:tcPr>
                <w:p w:rsidR="0078073B" w:rsidRPr="0078073B" w:rsidRDefault="0078073B" w:rsidP="008A62CF">
                  <w:pPr>
                    <w:rPr>
                      <w:rFonts w:ascii="Arial Narrow" w:hAnsi="Arial Narrow" w:cs="Arial"/>
                      <w:color w:val="A5A5A5" w:themeColor="accent1" w:themeShade="BF"/>
                      <w:sz w:val="18"/>
                      <w:szCs w:val="18"/>
                      <w:lang w:val="fr-FR"/>
                    </w:rPr>
                  </w:pPr>
                </w:p>
              </w:tc>
              <w:tc>
                <w:tcPr>
                  <w:tcW w:w="1471"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5F5F5F" w:themeColor="accent4" w:themeShade="BF"/>
                      <w:sz w:val="18"/>
                      <w:szCs w:val="18"/>
                      <w:u w:val="single"/>
                      <w:lang w:val="fr-FR"/>
                    </w:rPr>
                  </w:pPr>
                </w:p>
              </w:tc>
              <w:tc>
                <w:tcPr>
                  <w:tcW w:w="1417"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5F5F5F" w:themeColor="accent4" w:themeShade="BF"/>
                      <w:sz w:val="18"/>
                      <w:szCs w:val="18"/>
                      <w:u w:val="single"/>
                      <w:lang w:val="fr-FR"/>
                    </w:rPr>
                  </w:pPr>
                </w:p>
              </w:tc>
            </w:tr>
            <w:tr w:rsidR="0078073B" w:rsidRPr="0078073B" w:rsidTr="0078073B">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109" w:type="dxa"/>
                  <w:tcBorders>
                    <w:left w:val="none" w:sz="0" w:space="0" w:color="auto"/>
                    <w:right w:val="none" w:sz="0" w:space="0" w:color="auto"/>
                  </w:tcBorders>
                  <w:shd w:val="clear" w:color="auto" w:fill="474747" w:themeFill="accent5" w:themeFillShade="BF"/>
                  <w:vAlign w:val="center"/>
                </w:tcPr>
                <w:p w:rsidR="0078073B" w:rsidRPr="0078073B" w:rsidRDefault="0078073B" w:rsidP="008A62CF">
                  <w:pPr>
                    <w:rPr>
                      <w:rFonts w:ascii="Arial" w:hAnsi="Arial" w:cs="Arial"/>
                      <w:color w:val="FFFFFF" w:themeColor="background1"/>
                      <w:szCs w:val="22"/>
                      <w:lang w:val="fr-FR"/>
                    </w:rPr>
                  </w:pPr>
                  <w:r w:rsidRPr="0078073B">
                    <w:rPr>
                      <w:rFonts w:ascii="Arial" w:hAnsi="Arial" w:cs="Arial"/>
                      <w:color w:val="FFFFFF" w:themeColor="background1"/>
                      <w:szCs w:val="22"/>
                      <w:lang w:val="fr-FR"/>
                    </w:rPr>
                    <w:t>Dépenses</w:t>
                  </w:r>
                </w:p>
              </w:tc>
              <w:tc>
                <w:tcPr>
                  <w:tcW w:w="1471" w:type="dxa"/>
                  <w:tcBorders>
                    <w:left w:val="none" w:sz="0" w:space="0" w:color="auto"/>
                    <w:right w:val="none" w:sz="0" w:space="0" w:color="auto"/>
                  </w:tcBorders>
                  <w:shd w:val="clear" w:color="auto" w:fill="474747" w:themeFill="accent5" w:themeFillShade="BF"/>
                  <w:vAlign w:val="center"/>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FFFFFF" w:themeColor="background1"/>
                      <w:szCs w:val="22"/>
                      <w:lang w:val="fr-FR"/>
                    </w:rPr>
                  </w:pPr>
                  <w:r w:rsidRPr="0078073B">
                    <w:rPr>
                      <w:rFonts w:ascii="Arial Narrow" w:hAnsi="Arial Narrow" w:cs="Arial"/>
                      <w:b/>
                      <w:color w:val="FFFFFF" w:themeColor="background1"/>
                      <w:szCs w:val="22"/>
                      <w:lang w:val="fr-FR"/>
                    </w:rPr>
                    <w:t>2018</w:t>
                  </w:r>
                </w:p>
              </w:tc>
              <w:tc>
                <w:tcPr>
                  <w:tcW w:w="1417" w:type="dxa"/>
                  <w:tcBorders>
                    <w:left w:val="none" w:sz="0" w:space="0" w:color="auto"/>
                    <w:right w:val="none" w:sz="0" w:space="0" w:color="auto"/>
                  </w:tcBorders>
                  <w:shd w:val="clear" w:color="auto" w:fill="474747" w:themeFill="accent5" w:themeFillShade="BF"/>
                  <w:vAlign w:val="center"/>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FFFFFF" w:themeColor="background1"/>
                      <w:szCs w:val="22"/>
                      <w:lang w:val="fr-FR"/>
                    </w:rPr>
                  </w:pPr>
                  <w:r w:rsidRPr="0078073B">
                    <w:rPr>
                      <w:rFonts w:ascii="Arial Narrow" w:hAnsi="Arial Narrow" w:cs="Arial"/>
                      <w:b/>
                      <w:color w:val="FFFFFF" w:themeColor="background1"/>
                      <w:szCs w:val="22"/>
                      <w:lang w:val="fr-FR"/>
                    </w:rPr>
                    <w:t>2019</w:t>
                  </w:r>
                </w:p>
              </w:tc>
            </w:tr>
            <w:tr w:rsidR="0078073B" w:rsidRPr="0078073B" w:rsidTr="0078073B">
              <w:trPr>
                <w:trHeight w:val="284"/>
              </w:trPr>
              <w:tc>
                <w:tcPr>
                  <w:cnfStyle w:val="001000000000" w:firstRow="0" w:lastRow="0" w:firstColumn="1" w:lastColumn="0" w:oddVBand="0" w:evenVBand="0" w:oddHBand="0" w:evenHBand="0" w:firstRowFirstColumn="0" w:firstRowLastColumn="0" w:lastRowFirstColumn="0" w:lastRowLastColumn="0"/>
                  <w:tcW w:w="3109" w:type="dxa"/>
                </w:tcPr>
                <w:p w:rsidR="0078073B" w:rsidRPr="0078073B" w:rsidRDefault="0078073B" w:rsidP="008A62CF">
                  <w:pPr>
                    <w:ind w:left="170"/>
                    <w:rPr>
                      <w:rFonts w:ascii="Arial Narrow" w:hAnsi="Arial Narrow" w:cs="Arial"/>
                      <w:color w:val="000000" w:themeColor="text2"/>
                      <w:sz w:val="18"/>
                      <w:szCs w:val="18"/>
                      <w:lang w:val="fr-FR"/>
                    </w:rPr>
                  </w:pPr>
                  <w:r w:rsidRPr="0078073B">
                    <w:rPr>
                      <w:rFonts w:ascii="Arial Narrow" w:hAnsi="Arial Narrow" w:cs="Arial"/>
                      <w:color w:val="000000" w:themeColor="text2"/>
                      <w:sz w:val="18"/>
                      <w:szCs w:val="18"/>
                      <w:lang w:val="fr-FR"/>
                    </w:rPr>
                    <w:t>Conseil</w:t>
                  </w:r>
                </w:p>
              </w:tc>
              <w:tc>
                <w:tcPr>
                  <w:tcW w:w="1471"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111 052</w:t>
                  </w:r>
                </w:p>
              </w:tc>
              <w:tc>
                <w:tcPr>
                  <w:tcW w:w="1417"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116 334</w:t>
                  </w:r>
                </w:p>
              </w:tc>
            </w:tr>
            <w:tr w:rsidR="0078073B" w:rsidRPr="0078073B" w:rsidTr="0078073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09" w:type="dxa"/>
                  <w:tcBorders>
                    <w:left w:val="none" w:sz="0" w:space="0" w:color="auto"/>
                    <w:right w:val="none" w:sz="0" w:space="0" w:color="auto"/>
                  </w:tcBorders>
                </w:tcPr>
                <w:p w:rsidR="0078073B" w:rsidRPr="0078073B" w:rsidRDefault="0078073B" w:rsidP="008A62CF">
                  <w:pPr>
                    <w:ind w:left="170"/>
                    <w:rPr>
                      <w:rFonts w:ascii="Arial Narrow" w:hAnsi="Arial Narrow" w:cs="Arial"/>
                      <w:color w:val="000000" w:themeColor="text2"/>
                      <w:sz w:val="18"/>
                      <w:szCs w:val="18"/>
                      <w:lang w:val="fr-FR"/>
                    </w:rPr>
                  </w:pPr>
                  <w:r w:rsidRPr="0078073B">
                    <w:rPr>
                      <w:rFonts w:ascii="Arial Narrow" w:hAnsi="Arial Narrow" w:cs="Arial"/>
                      <w:color w:val="000000" w:themeColor="text2"/>
                      <w:sz w:val="18"/>
                      <w:szCs w:val="18"/>
                      <w:lang w:val="fr-FR"/>
                    </w:rPr>
                    <w:t>Administration générale</w:t>
                  </w:r>
                </w:p>
              </w:tc>
              <w:tc>
                <w:tcPr>
                  <w:tcW w:w="1471"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277 172</w:t>
                  </w:r>
                </w:p>
              </w:tc>
              <w:tc>
                <w:tcPr>
                  <w:tcW w:w="1417"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285 019</w:t>
                  </w:r>
                </w:p>
              </w:tc>
            </w:tr>
            <w:tr w:rsidR="0078073B" w:rsidRPr="0078073B" w:rsidTr="0078073B">
              <w:trPr>
                <w:trHeight w:val="284"/>
              </w:trPr>
              <w:tc>
                <w:tcPr>
                  <w:cnfStyle w:val="001000000000" w:firstRow="0" w:lastRow="0" w:firstColumn="1" w:lastColumn="0" w:oddVBand="0" w:evenVBand="0" w:oddHBand="0" w:evenHBand="0" w:firstRowFirstColumn="0" w:firstRowLastColumn="0" w:lastRowFirstColumn="0" w:lastRowLastColumn="0"/>
                  <w:tcW w:w="3109" w:type="dxa"/>
                </w:tcPr>
                <w:p w:rsidR="0078073B" w:rsidRPr="0078073B" w:rsidRDefault="0078073B" w:rsidP="008A62CF">
                  <w:pPr>
                    <w:ind w:left="170"/>
                    <w:rPr>
                      <w:rFonts w:ascii="Arial Narrow" w:hAnsi="Arial Narrow" w:cs="Arial"/>
                      <w:color w:val="000000" w:themeColor="text2"/>
                      <w:sz w:val="18"/>
                      <w:szCs w:val="18"/>
                      <w:lang w:val="fr-FR"/>
                    </w:rPr>
                  </w:pPr>
                  <w:r w:rsidRPr="0078073B">
                    <w:rPr>
                      <w:rFonts w:ascii="Arial Narrow" w:hAnsi="Arial Narrow" w:cs="Arial"/>
                      <w:color w:val="000000" w:themeColor="text2"/>
                      <w:sz w:val="18"/>
                      <w:szCs w:val="18"/>
                      <w:lang w:val="fr-FR"/>
                    </w:rPr>
                    <w:t>Sécurité publique</w:t>
                  </w:r>
                </w:p>
              </w:tc>
              <w:tc>
                <w:tcPr>
                  <w:tcW w:w="1471"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137 055</w:t>
                  </w:r>
                </w:p>
              </w:tc>
              <w:tc>
                <w:tcPr>
                  <w:tcW w:w="1417"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143 869</w:t>
                  </w:r>
                </w:p>
              </w:tc>
            </w:tr>
            <w:tr w:rsidR="0078073B" w:rsidRPr="0078073B" w:rsidTr="0078073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09" w:type="dxa"/>
                  <w:tcBorders>
                    <w:left w:val="none" w:sz="0" w:space="0" w:color="auto"/>
                    <w:right w:val="none" w:sz="0" w:space="0" w:color="auto"/>
                  </w:tcBorders>
                </w:tcPr>
                <w:p w:rsidR="0078073B" w:rsidRPr="0078073B" w:rsidRDefault="0078073B" w:rsidP="008A62CF">
                  <w:pPr>
                    <w:ind w:left="170"/>
                    <w:rPr>
                      <w:rFonts w:ascii="Arial Narrow" w:hAnsi="Arial Narrow" w:cs="Arial"/>
                      <w:color w:val="000000" w:themeColor="text2"/>
                      <w:sz w:val="18"/>
                      <w:szCs w:val="18"/>
                      <w:lang w:val="fr-FR"/>
                    </w:rPr>
                  </w:pPr>
                  <w:r w:rsidRPr="0078073B">
                    <w:rPr>
                      <w:rFonts w:ascii="Arial Narrow" w:hAnsi="Arial Narrow" w:cs="Arial"/>
                      <w:color w:val="000000" w:themeColor="text2"/>
                      <w:sz w:val="18"/>
                      <w:szCs w:val="18"/>
                      <w:lang w:val="fr-FR"/>
                    </w:rPr>
                    <w:t>Transport</w:t>
                  </w:r>
                </w:p>
              </w:tc>
              <w:tc>
                <w:tcPr>
                  <w:tcW w:w="1471"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193 016</w:t>
                  </w:r>
                </w:p>
              </w:tc>
              <w:tc>
                <w:tcPr>
                  <w:tcW w:w="1417"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214 191</w:t>
                  </w:r>
                </w:p>
              </w:tc>
            </w:tr>
            <w:tr w:rsidR="0078073B" w:rsidRPr="0078073B" w:rsidTr="0078073B">
              <w:trPr>
                <w:trHeight w:val="284"/>
              </w:trPr>
              <w:tc>
                <w:tcPr>
                  <w:cnfStyle w:val="001000000000" w:firstRow="0" w:lastRow="0" w:firstColumn="1" w:lastColumn="0" w:oddVBand="0" w:evenVBand="0" w:oddHBand="0" w:evenHBand="0" w:firstRowFirstColumn="0" w:firstRowLastColumn="0" w:lastRowFirstColumn="0" w:lastRowLastColumn="0"/>
                  <w:tcW w:w="3109" w:type="dxa"/>
                </w:tcPr>
                <w:p w:rsidR="0078073B" w:rsidRPr="0078073B" w:rsidRDefault="0078073B" w:rsidP="008A62CF">
                  <w:pPr>
                    <w:ind w:left="170"/>
                    <w:rPr>
                      <w:rFonts w:ascii="Arial Narrow" w:hAnsi="Arial Narrow" w:cs="Arial"/>
                      <w:color w:val="000000" w:themeColor="text2"/>
                      <w:sz w:val="18"/>
                      <w:szCs w:val="18"/>
                      <w:lang w:val="fr-FR"/>
                    </w:rPr>
                  </w:pPr>
                  <w:r w:rsidRPr="0078073B">
                    <w:rPr>
                      <w:rFonts w:ascii="Arial Narrow" w:hAnsi="Arial Narrow" w:cs="Arial"/>
                      <w:color w:val="000000" w:themeColor="text2"/>
                      <w:sz w:val="18"/>
                      <w:szCs w:val="18"/>
                      <w:lang w:val="fr-FR"/>
                    </w:rPr>
                    <w:t>Hygiène du milieu</w:t>
                  </w:r>
                </w:p>
              </w:tc>
              <w:tc>
                <w:tcPr>
                  <w:tcW w:w="1471"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102 985</w:t>
                  </w:r>
                </w:p>
              </w:tc>
              <w:tc>
                <w:tcPr>
                  <w:tcW w:w="1417"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64 949</w:t>
                  </w:r>
                </w:p>
              </w:tc>
            </w:tr>
            <w:tr w:rsidR="0078073B" w:rsidRPr="0078073B" w:rsidTr="0078073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09" w:type="dxa"/>
                  <w:tcBorders>
                    <w:left w:val="none" w:sz="0" w:space="0" w:color="auto"/>
                    <w:right w:val="none" w:sz="0" w:space="0" w:color="auto"/>
                  </w:tcBorders>
                </w:tcPr>
                <w:p w:rsidR="0078073B" w:rsidRPr="0078073B" w:rsidRDefault="0078073B" w:rsidP="008A62CF">
                  <w:pPr>
                    <w:ind w:left="170"/>
                    <w:rPr>
                      <w:rFonts w:ascii="Arial Narrow" w:hAnsi="Arial Narrow" w:cs="Arial"/>
                      <w:color w:val="000000" w:themeColor="text2"/>
                      <w:sz w:val="18"/>
                      <w:szCs w:val="18"/>
                      <w:lang w:val="fr-FR"/>
                    </w:rPr>
                  </w:pPr>
                  <w:r w:rsidRPr="0078073B">
                    <w:rPr>
                      <w:rFonts w:ascii="Arial Narrow" w:hAnsi="Arial Narrow" w:cs="Arial"/>
                      <w:color w:val="000000" w:themeColor="text2"/>
                      <w:sz w:val="18"/>
                      <w:szCs w:val="18"/>
                      <w:lang w:val="fr-FR"/>
                    </w:rPr>
                    <w:t>Santé et bien-être</w:t>
                  </w:r>
                </w:p>
              </w:tc>
              <w:tc>
                <w:tcPr>
                  <w:tcW w:w="1471"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200</w:t>
                  </w:r>
                </w:p>
              </w:tc>
              <w:tc>
                <w:tcPr>
                  <w:tcW w:w="1417"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400</w:t>
                  </w:r>
                </w:p>
              </w:tc>
            </w:tr>
            <w:tr w:rsidR="0078073B" w:rsidRPr="0078073B" w:rsidTr="0078073B">
              <w:trPr>
                <w:trHeight w:val="284"/>
              </w:trPr>
              <w:tc>
                <w:tcPr>
                  <w:cnfStyle w:val="001000000000" w:firstRow="0" w:lastRow="0" w:firstColumn="1" w:lastColumn="0" w:oddVBand="0" w:evenVBand="0" w:oddHBand="0" w:evenHBand="0" w:firstRowFirstColumn="0" w:firstRowLastColumn="0" w:lastRowFirstColumn="0" w:lastRowLastColumn="0"/>
                  <w:tcW w:w="3109" w:type="dxa"/>
                </w:tcPr>
                <w:p w:rsidR="0078073B" w:rsidRPr="0078073B" w:rsidRDefault="0078073B" w:rsidP="008A62CF">
                  <w:pPr>
                    <w:ind w:left="170"/>
                    <w:rPr>
                      <w:rFonts w:ascii="Arial Narrow" w:hAnsi="Arial Narrow" w:cs="Arial"/>
                      <w:color w:val="000000" w:themeColor="text2"/>
                      <w:sz w:val="18"/>
                      <w:szCs w:val="18"/>
                      <w:lang w:val="fr-FR"/>
                    </w:rPr>
                  </w:pPr>
                  <w:r w:rsidRPr="0078073B">
                    <w:rPr>
                      <w:rFonts w:ascii="Arial Narrow" w:hAnsi="Arial Narrow" w:cs="Arial"/>
                      <w:color w:val="000000" w:themeColor="text2"/>
                      <w:sz w:val="18"/>
                      <w:szCs w:val="18"/>
                      <w:lang w:val="fr-FR"/>
                    </w:rPr>
                    <w:t>Urbanisme, aménagement, développement</w:t>
                  </w:r>
                </w:p>
              </w:tc>
              <w:tc>
                <w:tcPr>
                  <w:tcW w:w="1471"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84 273</w:t>
                  </w:r>
                </w:p>
              </w:tc>
              <w:tc>
                <w:tcPr>
                  <w:tcW w:w="1417"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73 154</w:t>
                  </w:r>
                </w:p>
              </w:tc>
            </w:tr>
            <w:tr w:rsidR="0078073B" w:rsidRPr="0078073B" w:rsidTr="0078073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09" w:type="dxa"/>
                  <w:tcBorders>
                    <w:left w:val="none" w:sz="0" w:space="0" w:color="auto"/>
                    <w:right w:val="none" w:sz="0" w:space="0" w:color="auto"/>
                  </w:tcBorders>
                </w:tcPr>
                <w:p w:rsidR="0078073B" w:rsidRPr="0078073B" w:rsidRDefault="0078073B" w:rsidP="008A62CF">
                  <w:pPr>
                    <w:ind w:left="170"/>
                    <w:rPr>
                      <w:rFonts w:ascii="Arial Narrow" w:hAnsi="Arial Narrow" w:cs="Arial"/>
                      <w:color w:val="000000" w:themeColor="text2"/>
                      <w:sz w:val="18"/>
                      <w:szCs w:val="18"/>
                      <w:lang w:val="fr-FR"/>
                    </w:rPr>
                  </w:pPr>
                  <w:r w:rsidRPr="0078073B">
                    <w:rPr>
                      <w:rFonts w:ascii="Arial Narrow" w:hAnsi="Arial Narrow" w:cs="Arial"/>
                      <w:color w:val="000000" w:themeColor="text2"/>
                      <w:sz w:val="18"/>
                      <w:szCs w:val="18"/>
                      <w:lang w:val="fr-FR"/>
                    </w:rPr>
                    <w:t>Loisirs et culture</w:t>
                  </w:r>
                </w:p>
              </w:tc>
              <w:tc>
                <w:tcPr>
                  <w:tcW w:w="1471"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46 452</w:t>
                  </w:r>
                </w:p>
              </w:tc>
              <w:tc>
                <w:tcPr>
                  <w:tcW w:w="1417"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76 332</w:t>
                  </w:r>
                </w:p>
              </w:tc>
            </w:tr>
            <w:tr w:rsidR="0078073B" w:rsidRPr="0078073B" w:rsidTr="0078073B">
              <w:trPr>
                <w:trHeight w:val="284"/>
              </w:trPr>
              <w:tc>
                <w:tcPr>
                  <w:cnfStyle w:val="001000000000" w:firstRow="0" w:lastRow="0" w:firstColumn="1" w:lastColumn="0" w:oddVBand="0" w:evenVBand="0" w:oddHBand="0" w:evenHBand="0" w:firstRowFirstColumn="0" w:firstRowLastColumn="0" w:lastRowFirstColumn="0" w:lastRowLastColumn="0"/>
                  <w:tcW w:w="3109" w:type="dxa"/>
                </w:tcPr>
                <w:p w:rsidR="0078073B" w:rsidRPr="0078073B" w:rsidRDefault="0078073B" w:rsidP="008A62CF">
                  <w:pPr>
                    <w:ind w:left="170"/>
                    <w:rPr>
                      <w:rFonts w:ascii="Arial Narrow" w:hAnsi="Arial Narrow" w:cs="Arial"/>
                      <w:color w:val="000000" w:themeColor="text2"/>
                      <w:sz w:val="18"/>
                      <w:szCs w:val="18"/>
                      <w:lang w:val="fr-FR"/>
                    </w:rPr>
                  </w:pPr>
                  <w:r w:rsidRPr="0078073B">
                    <w:rPr>
                      <w:rFonts w:ascii="Arial Narrow" w:hAnsi="Arial Narrow" w:cs="Arial"/>
                      <w:color w:val="000000" w:themeColor="text2"/>
                      <w:sz w:val="18"/>
                      <w:szCs w:val="18"/>
                      <w:lang w:val="fr-FR"/>
                    </w:rPr>
                    <w:t>Frais de financement</w:t>
                  </w:r>
                </w:p>
              </w:tc>
              <w:tc>
                <w:tcPr>
                  <w:tcW w:w="1471"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u w:val="single"/>
                      <w:lang w:val="fr-FR"/>
                    </w:rPr>
                  </w:pPr>
                  <w:r w:rsidRPr="0078073B">
                    <w:rPr>
                      <w:rFonts w:ascii="Arial Narrow" w:hAnsi="Arial Narrow" w:cs="Arial"/>
                      <w:sz w:val="18"/>
                      <w:szCs w:val="18"/>
                      <w:u w:val="single"/>
                      <w:lang w:val="fr-FR"/>
                    </w:rPr>
                    <w:t>50</w:t>
                  </w:r>
                </w:p>
              </w:tc>
              <w:tc>
                <w:tcPr>
                  <w:tcW w:w="1417"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u w:val="single"/>
                      <w:lang w:val="fr-FR"/>
                    </w:rPr>
                  </w:pPr>
                  <w:r w:rsidRPr="0078073B">
                    <w:rPr>
                      <w:rFonts w:ascii="Arial Narrow" w:hAnsi="Arial Narrow" w:cs="Arial"/>
                      <w:sz w:val="18"/>
                      <w:szCs w:val="18"/>
                      <w:u w:val="single"/>
                      <w:lang w:val="fr-FR"/>
                    </w:rPr>
                    <w:t>5 000</w:t>
                  </w:r>
                </w:p>
              </w:tc>
            </w:tr>
            <w:tr w:rsidR="0078073B" w:rsidRPr="0078073B" w:rsidTr="0078073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09" w:type="dxa"/>
                  <w:tcBorders>
                    <w:left w:val="none" w:sz="0" w:space="0" w:color="auto"/>
                    <w:right w:val="none" w:sz="0" w:space="0" w:color="auto"/>
                  </w:tcBorders>
                </w:tcPr>
                <w:p w:rsidR="0078073B" w:rsidRPr="0078073B" w:rsidRDefault="0078073B" w:rsidP="008A62CF">
                  <w:pPr>
                    <w:rPr>
                      <w:rFonts w:ascii="Arial Narrow" w:hAnsi="Arial Narrow" w:cs="Arial"/>
                      <w:color w:val="000000" w:themeColor="text2"/>
                      <w:sz w:val="18"/>
                      <w:szCs w:val="18"/>
                      <w:lang w:val="fr-FR"/>
                    </w:rPr>
                  </w:pPr>
                  <w:r w:rsidRPr="0078073B">
                    <w:rPr>
                      <w:rFonts w:ascii="Arial Narrow" w:hAnsi="Arial Narrow" w:cs="Arial"/>
                      <w:color w:val="000000" w:themeColor="text2"/>
                      <w:sz w:val="18"/>
                      <w:szCs w:val="18"/>
                      <w:lang w:val="fr-FR"/>
                    </w:rPr>
                    <w:t>TOTAL - dépenses</w:t>
                  </w:r>
                </w:p>
              </w:tc>
              <w:tc>
                <w:tcPr>
                  <w:tcW w:w="1471"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sz w:val="18"/>
                      <w:szCs w:val="18"/>
                      <w:lang w:val="fr-FR"/>
                    </w:rPr>
                  </w:pPr>
                  <w:r w:rsidRPr="0078073B">
                    <w:rPr>
                      <w:rFonts w:ascii="Arial Narrow" w:hAnsi="Arial Narrow" w:cs="Arial"/>
                      <w:b/>
                      <w:sz w:val="18"/>
                      <w:szCs w:val="18"/>
                      <w:lang w:val="fr-FR"/>
                    </w:rPr>
                    <w:t>952 255 $</w:t>
                  </w:r>
                </w:p>
              </w:tc>
              <w:tc>
                <w:tcPr>
                  <w:tcW w:w="1417"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sz w:val="18"/>
                      <w:szCs w:val="18"/>
                      <w:lang w:val="fr-FR"/>
                    </w:rPr>
                  </w:pPr>
                  <w:r w:rsidRPr="0078073B">
                    <w:rPr>
                      <w:rFonts w:ascii="Arial Narrow" w:hAnsi="Arial Narrow" w:cs="Arial"/>
                      <w:b/>
                      <w:sz w:val="18"/>
                      <w:szCs w:val="18"/>
                      <w:lang w:val="fr-FR"/>
                    </w:rPr>
                    <w:t>979 248 $</w:t>
                  </w:r>
                </w:p>
              </w:tc>
            </w:tr>
            <w:tr w:rsidR="0078073B" w:rsidRPr="0078073B" w:rsidTr="0078073B">
              <w:trPr>
                <w:trHeight w:val="284"/>
              </w:trPr>
              <w:tc>
                <w:tcPr>
                  <w:cnfStyle w:val="001000000000" w:firstRow="0" w:lastRow="0" w:firstColumn="1" w:lastColumn="0" w:oddVBand="0" w:evenVBand="0" w:oddHBand="0" w:evenHBand="0" w:firstRowFirstColumn="0" w:firstRowLastColumn="0" w:lastRowFirstColumn="0" w:lastRowLastColumn="0"/>
                  <w:tcW w:w="3109" w:type="dxa"/>
                </w:tcPr>
                <w:p w:rsidR="0078073B" w:rsidRPr="0078073B" w:rsidRDefault="0078073B" w:rsidP="008A62CF">
                  <w:pPr>
                    <w:rPr>
                      <w:rFonts w:ascii="Arial" w:hAnsi="Arial" w:cs="Arial"/>
                      <w:color w:val="000000" w:themeColor="text2"/>
                      <w:sz w:val="18"/>
                      <w:szCs w:val="18"/>
                      <w:lang w:val="fr-FR"/>
                    </w:rPr>
                  </w:pPr>
                  <w:r w:rsidRPr="0078073B">
                    <w:rPr>
                      <w:rFonts w:ascii="Arial" w:hAnsi="Arial" w:cs="Arial"/>
                      <w:color w:val="000000" w:themeColor="text2"/>
                      <w:sz w:val="18"/>
                      <w:szCs w:val="18"/>
                      <w:lang w:val="fr-FR"/>
                    </w:rPr>
                    <w:t>Affectations</w:t>
                  </w:r>
                </w:p>
              </w:tc>
              <w:tc>
                <w:tcPr>
                  <w:tcW w:w="1471"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fr-FR"/>
                    </w:rPr>
                  </w:pPr>
                </w:p>
              </w:tc>
              <w:tc>
                <w:tcPr>
                  <w:tcW w:w="1417"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fr-FR"/>
                    </w:rPr>
                  </w:pPr>
                </w:p>
              </w:tc>
            </w:tr>
            <w:tr w:rsidR="0078073B" w:rsidRPr="0078073B" w:rsidTr="0078073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09" w:type="dxa"/>
                  <w:tcBorders>
                    <w:left w:val="none" w:sz="0" w:space="0" w:color="auto"/>
                    <w:right w:val="none" w:sz="0" w:space="0" w:color="auto"/>
                  </w:tcBorders>
                </w:tcPr>
                <w:p w:rsidR="0078073B" w:rsidRPr="0078073B" w:rsidRDefault="0078073B" w:rsidP="008A62CF">
                  <w:pPr>
                    <w:ind w:left="170"/>
                    <w:rPr>
                      <w:rFonts w:ascii="Arial Narrow" w:hAnsi="Arial Narrow" w:cs="Arial"/>
                      <w:color w:val="000000" w:themeColor="text2"/>
                      <w:sz w:val="18"/>
                      <w:szCs w:val="18"/>
                      <w:lang w:val="fr-FR"/>
                    </w:rPr>
                  </w:pPr>
                  <w:r w:rsidRPr="0078073B">
                    <w:rPr>
                      <w:rFonts w:ascii="Arial Narrow" w:hAnsi="Arial Narrow" w:cs="Arial"/>
                      <w:color w:val="000000" w:themeColor="text2"/>
                      <w:sz w:val="18"/>
                      <w:szCs w:val="18"/>
                      <w:lang w:val="fr-FR"/>
                    </w:rPr>
                    <w:t>Activité d’investissements</w:t>
                  </w:r>
                </w:p>
              </w:tc>
              <w:tc>
                <w:tcPr>
                  <w:tcW w:w="1471"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19 200</w:t>
                  </w:r>
                </w:p>
              </w:tc>
              <w:tc>
                <w:tcPr>
                  <w:tcW w:w="1417"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14 400</w:t>
                  </w:r>
                </w:p>
              </w:tc>
            </w:tr>
            <w:tr w:rsidR="0078073B" w:rsidRPr="0078073B" w:rsidTr="0078073B">
              <w:trPr>
                <w:trHeight w:val="284"/>
              </w:trPr>
              <w:tc>
                <w:tcPr>
                  <w:cnfStyle w:val="001000000000" w:firstRow="0" w:lastRow="0" w:firstColumn="1" w:lastColumn="0" w:oddVBand="0" w:evenVBand="0" w:oddHBand="0" w:evenHBand="0" w:firstRowFirstColumn="0" w:firstRowLastColumn="0" w:lastRowFirstColumn="0" w:lastRowLastColumn="0"/>
                  <w:tcW w:w="3109" w:type="dxa"/>
                </w:tcPr>
                <w:p w:rsidR="0078073B" w:rsidRPr="0078073B" w:rsidRDefault="0078073B" w:rsidP="008A62CF">
                  <w:pPr>
                    <w:ind w:left="170"/>
                    <w:rPr>
                      <w:rFonts w:ascii="Arial Narrow" w:hAnsi="Arial Narrow" w:cs="Arial"/>
                      <w:color w:val="000000" w:themeColor="text2"/>
                      <w:sz w:val="18"/>
                      <w:szCs w:val="18"/>
                      <w:lang w:val="fr-FR"/>
                    </w:rPr>
                  </w:pPr>
                  <w:r w:rsidRPr="0078073B">
                    <w:rPr>
                      <w:rFonts w:ascii="Arial Narrow" w:hAnsi="Arial Narrow" w:cs="Arial"/>
                      <w:color w:val="000000" w:themeColor="text2"/>
                      <w:sz w:val="18"/>
                      <w:szCs w:val="18"/>
                      <w:lang w:val="fr-FR"/>
                    </w:rPr>
                    <w:t>Remboursement du fonds de roulement</w:t>
                  </w:r>
                </w:p>
              </w:tc>
              <w:tc>
                <w:tcPr>
                  <w:tcW w:w="1471"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38 000</w:t>
                  </w:r>
                </w:p>
              </w:tc>
              <w:tc>
                <w:tcPr>
                  <w:tcW w:w="1417"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37 500</w:t>
                  </w:r>
                </w:p>
              </w:tc>
            </w:tr>
            <w:tr w:rsidR="0078073B" w:rsidRPr="0078073B" w:rsidTr="0078073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09" w:type="dxa"/>
                  <w:tcBorders>
                    <w:left w:val="none" w:sz="0" w:space="0" w:color="auto"/>
                    <w:right w:val="none" w:sz="0" w:space="0" w:color="auto"/>
                  </w:tcBorders>
                </w:tcPr>
                <w:p w:rsidR="0078073B" w:rsidRPr="0078073B" w:rsidRDefault="0078073B" w:rsidP="008A62CF">
                  <w:pPr>
                    <w:ind w:left="175"/>
                    <w:rPr>
                      <w:rFonts w:ascii="Arial Narrow" w:hAnsi="Arial Narrow" w:cs="Arial"/>
                      <w:color w:val="000000" w:themeColor="text2"/>
                      <w:sz w:val="18"/>
                      <w:szCs w:val="18"/>
                      <w:lang w:val="fr-FR"/>
                    </w:rPr>
                  </w:pPr>
                  <w:r w:rsidRPr="0078073B">
                    <w:rPr>
                      <w:rFonts w:ascii="Arial Narrow" w:hAnsi="Arial Narrow" w:cs="Arial"/>
                      <w:color w:val="000000" w:themeColor="text2"/>
                      <w:sz w:val="18"/>
                      <w:szCs w:val="18"/>
                      <w:lang w:val="fr-FR"/>
                    </w:rPr>
                    <w:t>Affectation surplus affecté</w:t>
                  </w:r>
                </w:p>
              </w:tc>
              <w:tc>
                <w:tcPr>
                  <w:tcW w:w="1471"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0</w:t>
                  </w:r>
                </w:p>
              </w:tc>
              <w:tc>
                <w:tcPr>
                  <w:tcW w:w="1417"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18"/>
                      <w:szCs w:val="18"/>
                      <w:lang w:val="fr-FR"/>
                    </w:rPr>
                  </w:pPr>
                  <w:r w:rsidRPr="0078073B">
                    <w:rPr>
                      <w:rFonts w:ascii="Arial Narrow" w:hAnsi="Arial Narrow" w:cs="Arial"/>
                      <w:sz w:val="18"/>
                      <w:szCs w:val="18"/>
                      <w:lang w:val="fr-FR"/>
                    </w:rPr>
                    <w:t>5 000</w:t>
                  </w:r>
                </w:p>
              </w:tc>
            </w:tr>
            <w:tr w:rsidR="0078073B" w:rsidRPr="0078073B" w:rsidTr="0078073B">
              <w:trPr>
                <w:trHeight w:val="284"/>
              </w:trPr>
              <w:tc>
                <w:tcPr>
                  <w:cnfStyle w:val="001000000000" w:firstRow="0" w:lastRow="0" w:firstColumn="1" w:lastColumn="0" w:oddVBand="0" w:evenVBand="0" w:oddHBand="0" w:evenHBand="0" w:firstRowFirstColumn="0" w:firstRowLastColumn="0" w:lastRowFirstColumn="0" w:lastRowLastColumn="0"/>
                  <w:tcW w:w="3109" w:type="dxa"/>
                </w:tcPr>
                <w:p w:rsidR="0078073B" w:rsidRPr="0078073B" w:rsidRDefault="0078073B" w:rsidP="008A62CF">
                  <w:pPr>
                    <w:rPr>
                      <w:rFonts w:ascii="Arial Narrow" w:hAnsi="Arial Narrow" w:cs="Arial"/>
                      <w:color w:val="000000" w:themeColor="text2"/>
                      <w:sz w:val="18"/>
                      <w:szCs w:val="18"/>
                      <w:lang w:val="fr-FR"/>
                    </w:rPr>
                  </w:pPr>
                  <w:r w:rsidRPr="0078073B">
                    <w:rPr>
                      <w:rFonts w:ascii="Arial Narrow" w:hAnsi="Arial Narrow" w:cs="Arial"/>
                      <w:color w:val="000000" w:themeColor="text2"/>
                      <w:sz w:val="18"/>
                      <w:szCs w:val="18"/>
                      <w:lang w:val="fr-FR"/>
                    </w:rPr>
                    <w:t>Total - affectations</w:t>
                  </w:r>
                </w:p>
              </w:tc>
              <w:tc>
                <w:tcPr>
                  <w:tcW w:w="1471"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sz w:val="18"/>
                      <w:szCs w:val="18"/>
                      <w:u w:val="single"/>
                      <w:lang w:val="fr-FR"/>
                    </w:rPr>
                  </w:pPr>
                  <w:r w:rsidRPr="0078073B">
                    <w:rPr>
                      <w:rFonts w:ascii="Arial Narrow" w:hAnsi="Arial Narrow" w:cs="Arial"/>
                      <w:b/>
                      <w:sz w:val="18"/>
                      <w:szCs w:val="18"/>
                      <w:u w:val="single"/>
                      <w:lang w:val="fr-FR"/>
                    </w:rPr>
                    <w:t>57 200</w:t>
                  </w:r>
                </w:p>
              </w:tc>
              <w:tc>
                <w:tcPr>
                  <w:tcW w:w="1417"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sz w:val="18"/>
                      <w:szCs w:val="18"/>
                      <w:u w:val="single"/>
                      <w:lang w:val="fr-FR"/>
                    </w:rPr>
                  </w:pPr>
                  <w:r w:rsidRPr="0078073B">
                    <w:rPr>
                      <w:rFonts w:ascii="Arial Narrow" w:hAnsi="Arial Narrow" w:cs="Arial"/>
                      <w:b/>
                      <w:sz w:val="18"/>
                      <w:szCs w:val="18"/>
                      <w:u w:val="single"/>
                      <w:lang w:val="fr-FR"/>
                    </w:rPr>
                    <w:t>56 900</w:t>
                  </w:r>
                </w:p>
              </w:tc>
            </w:tr>
            <w:tr w:rsidR="0078073B" w:rsidRPr="0078073B" w:rsidTr="0078073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09" w:type="dxa"/>
                  <w:tcBorders>
                    <w:left w:val="none" w:sz="0" w:space="0" w:color="auto"/>
                    <w:right w:val="none" w:sz="0" w:space="0" w:color="auto"/>
                  </w:tcBorders>
                </w:tcPr>
                <w:p w:rsidR="0078073B" w:rsidRPr="0078073B" w:rsidRDefault="0078073B" w:rsidP="008A62CF">
                  <w:pPr>
                    <w:rPr>
                      <w:rFonts w:ascii="Arial Narrow" w:hAnsi="Arial Narrow" w:cs="Arial"/>
                      <w:color w:val="000000" w:themeColor="text2"/>
                      <w:sz w:val="18"/>
                      <w:szCs w:val="18"/>
                      <w:lang w:val="fr-FR"/>
                    </w:rPr>
                  </w:pPr>
                  <w:r w:rsidRPr="0078073B">
                    <w:rPr>
                      <w:rFonts w:ascii="Arial Narrow" w:hAnsi="Arial Narrow" w:cs="Arial"/>
                      <w:color w:val="000000" w:themeColor="text2"/>
                      <w:sz w:val="18"/>
                      <w:szCs w:val="18"/>
                      <w:lang w:val="fr-FR"/>
                    </w:rPr>
                    <w:t xml:space="preserve">TOTAL - Dépenses et affectations </w:t>
                  </w:r>
                </w:p>
              </w:tc>
              <w:tc>
                <w:tcPr>
                  <w:tcW w:w="1471"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sz w:val="18"/>
                      <w:szCs w:val="18"/>
                      <w:u w:val="single"/>
                      <w:lang w:val="fr-FR"/>
                    </w:rPr>
                  </w:pPr>
                  <w:r w:rsidRPr="0078073B">
                    <w:rPr>
                      <w:rFonts w:ascii="Arial Narrow" w:hAnsi="Arial Narrow" w:cs="Arial"/>
                      <w:b/>
                      <w:sz w:val="18"/>
                      <w:szCs w:val="18"/>
                      <w:u w:val="single"/>
                      <w:lang w:val="fr-FR"/>
                    </w:rPr>
                    <w:t>1 009 455 $</w:t>
                  </w:r>
                </w:p>
              </w:tc>
              <w:tc>
                <w:tcPr>
                  <w:tcW w:w="1417"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sz w:val="18"/>
                      <w:szCs w:val="18"/>
                      <w:u w:val="single"/>
                      <w:lang w:val="fr-FR"/>
                    </w:rPr>
                  </w:pPr>
                  <w:r w:rsidRPr="0078073B">
                    <w:rPr>
                      <w:rFonts w:ascii="Arial Narrow" w:hAnsi="Arial Narrow" w:cs="Arial"/>
                      <w:b/>
                      <w:sz w:val="18"/>
                      <w:szCs w:val="18"/>
                      <w:u w:val="single"/>
                      <w:lang w:val="fr-FR"/>
                    </w:rPr>
                    <w:t>1 036 148 $</w:t>
                  </w:r>
                </w:p>
              </w:tc>
            </w:tr>
            <w:tr w:rsidR="0078073B" w:rsidRPr="0078073B" w:rsidTr="0078073B">
              <w:trPr>
                <w:trHeight w:val="284"/>
              </w:trPr>
              <w:tc>
                <w:tcPr>
                  <w:cnfStyle w:val="001000000000" w:firstRow="0" w:lastRow="0" w:firstColumn="1" w:lastColumn="0" w:oddVBand="0" w:evenVBand="0" w:oddHBand="0" w:evenHBand="0" w:firstRowFirstColumn="0" w:firstRowLastColumn="0" w:lastRowFirstColumn="0" w:lastRowLastColumn="0"/>
                  <w:tcW w:w="3109" w:type="dxa"/>
                </w:tcPr>
                <w:p w:rsidR="0078073B" w:rsidRPr="0078073B" w:rsidRDefault="0078073B" w:rsidP="008A62CF">
                  <w:pPr>
                    <w:rPr>
                      <w:rFonts w:ascii="Arial Narrow" w:hAnsi="Arial Narrow" w:cs="Arial"/>
                      <w:color w:val="858585" w:themeColor="accent2" w:themeShade="BF"/>
                      <w:sz w:val="18"/>
                      <w:szCs w:val="18"/>
                      <w:lang w:val="fr-FR"/>
                    </w:rPr>
                  </w:pPr>
                </w:p>
              </w:tc>
              <w:tc>
                <w:tcPr>
                  <w:tcW w:w="1471"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sz w:val="18"/>
                      <w:szCs w:val="18"/>
                      <w:u w:val="single"/>
                      <w:lang w:val="fr-FR"/>
                    </w:rPr>
                  </w:pPr>
                </w:p>
              </w:tc>
              <w:tc>
                <w:tcPr>
                  <w:tcW w:w="1417" w:type="dxa"/>
                </w:tcPr>
                <w:p w:rsidR="0078073B" w:rsidRPr="0078073B" w:rsidRDefault="0078073B" w:rsidP="008A62CF">
                  <w:pPr>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sz w:val="18"/>
                      <w:szCs w:val="18"/>
                      <w:u w:val="single"/>
                      <w:lang w:val="fr-FR"/>
                    </w:rPr>
                  </w:pPr>
                </w:p>
              </w:tc>
            </w:tr>
            <w:tr w:rsidR="0078073B" w:rsidRPr="0078073B" w:rsidTr="0078073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109" w:type="dxa"/>
                  <w:tcBorders>
                    <w:left w:val="none" w:sz="0" w:space="0" w:color="auto"/>
                    <w:right w:val="none" w:sz="0" w:space="0" w:color="auto"/>
                  </w:tcBorders>
                </w:tcPr>
                <w:p w:rsidR="0078073B" w:rsidRPr="0078073B" w:rsidRDefault="0078073B" w:rsidP="008A62CF">
                  <w:pPr>
                    <w:rPr>
                      <w:rFonts w:ascii="Arial Narrow" w:hAnsi="Arial Narrow" w:cs="Arial"/>
                      <w:color w:val="858585" w:themeColor="accent2" w:themeShade="BF"/>
                      <w:sz w:val="24"/>
                      <w:szCs w:val="24"/>
                      <w:lang w:val="fr-FR"/>
                    </w:rPr>
                  </w:pPr>
                  <w:r w:rsidRPr="0078073B">
                    <w:rPr>
                      <w:rFonts w:ascii="Arial Narrow" w:hAnsi="Arial Narrow" w:cs="Arial"/>
                      <w:color w:val="000000" w:themeColor="text2"/>
                      <w:sz w:val="24"/>
                      <w:szCs w:val="24"/>
                      <w:lang w:val="fr-FR"/>
                    </w:rPr>
                    <w:t xml:space="preserve">Surplus (Déficit) </w:t>
                  </w:r>
                </w:p>
              </w:tc>
              <w:tc>
                <w:tcPr>
                  <w:tcW w:w="1471"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sz w:val="24"/>
                      <w:szCs w:val="24"/>
                      <w:u w:val="double"/>
                      <w:lang w:val="fr-FR"/>
                    </w:rPr>
                  </w:pPr>
                  <w:r w:rsidRPr="0078073B">
                    <w:rPr>
                      <w:rFonts w:ascii="Arial Narrow" w:hAnsi="Arial Narrow" w:cs="Arial"/>
                      <w:b/>
                      <w:sz w:val="24"/>
                      <w:szCs w:val="24"/>
                      <w:u w:val="double"/>
                      <w:lang w:val="fr-FR"/>
                    </w:rPr>
                    <w:t>0</w:t>
                  </w:r>
                </w:p>
              </w:tc>
              <w:tc>
                <w:tcPr>
                  <w:tcW w:w="1417" w:type="dxa"/>
                  <w:tcBorders>
                    <w:left w:val="none" w:sz="0" w:space="0" w:color="auto"/>
                    <w:right w:val="none" w:sz="0" w:space="0" w:color="auto"/>
                  </w:tcBorders>
                </w:tcPr>
                <w:p w:rsidR="0078073B" w:rsidRPr="0078073B" w:rsidRDefault="0078073B" w:rsidP="008A62CF">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sz w:val="24"/>
                      <w:szCs w:val="24"/>
                      <w:u w:val="double"/>
                      <w:lang w:val="fr-FR"/>
                    </w:rPr>
                  </w:pPr>
                  <w:r w:rsidRPr="0078073B">
                    <w:rPr>
                      <w:rFonts w:ascii="Arial Narrow" w:hAnsi="Arial Narrow" w:cs="Arial"/>
                      <w:b/>
                      <w:sz w:val="24"/>
                      <w:szCs w:val="24"/>
                      <w:u w:val="double"/>
                      <w:lang w:val="fr-FR"/>
                    </w:rPr>
                    <w:t>0</w:t>
                  </w:r>
                </w:p>
              </w:tc>
            </w:tr>
          </w:tbl>
          <w:p w:rsidR="0078073B" w:rsidRPr="0078073B" w:rsidRDefault="0078073B" w:rsidP="0078073B">
            <w:pPr>
              <w:rPr>
                <w:rFonts w:ascii="Arial" w:hAnsi="Arial" w:cs="Arial"/>
                <w:szCs w:val="22"/>
                <w:lang w:val="fr-FR"/>
              </w:rPr>
            </w:pPr>
          </w:p>
          <w:p w:rsidR="000C3803" w:rsidRDefault="000C3803" w:rsidP="00C165D6">
            <w:r>
              <w:t xml:space="preserve">Les prévisions budgétaires de l’exercice </w:t>
            </w:r>
            <w:r w:rsidR="008030C5">
              <w:t>financier</w:t>
            </w:r>
            <w:r>
              <w:t xml:space="preserve"> 2019 sont transmises, tel que stipulé par la Loi, au Ministère des affaires municipales et de l’Habitation avant le 31 janvier 2019 via son portail. Les prévisions budgétaires seront transmises à tous les contribuables via leurs comptes de taxes.</w:t>
            </w:r>
          </w:p>
          <w:p w:rsidR="00F32CCD" w:rsidRDefault="00F32CCD" w:rsidP="00C165D6"/>
          <w:p w:rsidR="00706A9A" w:rsidRPr="00706A9A" w:rsidRDefault="00706A9A" w:rsidP="0004165C"/>
        </w:tc>
      </w:tr>
      <w:tr w:rsidR="00DA3617" w:rsidRPr="003859AD" w:rsidTr="00F41154">
        <w:tc>
          <w:tcPr>
            <w:tcW w:w="1838" w:type="dxa"/>
          </w:tcPr>
          <w:p w:rsidR="00DA3617" w:rsidRPr="00A41CEE" w:rsidRDefault="005664F8" w:rsidP="0034194F">
            <w:pPr>
              <w:rPr>
                <w:b/>
              </w:rPr>
            </w:pPr>
            <w:r>
              <w:rPr>
                <w:b/>
              </w:rPr>
              <w:lastRenderedPageBreak/>
              <w:t>2018-12-218</w:t>
            </w:r>
          </w:p>
        </w:tc>
        <w:tc>
          <w:tcPr>
            <w:tcW w:w="7806" w:type="dxa"/>
          </w:tcPr>
          <w:p w:rsidR="00DA3617" w:rsidRDefault="000C3803" w:rsidP="00DA3617">
            <w:pPr>
              <w:pStyle w:val="Titre1"/>
              <w:outlineLvl w:val="0"/>
            </w:pPr>
            <w:bookmarkStart w:id="4" w:name="_Toc532300949"/>
            <w:r>
              <w:t>ADOPTION DU PROGRAMME TRIENNAL D’IMMOBILISATIONS 2019-2020-2021</w:t>
            </w:r>
            <w:bookmarkEnd w:id="4"/>
          </w:p>
          <w:p w:rsidR="000C3803" w:rsidRDefault="000C3803" w:rsidP="000C3803"/>
          <w:p w:rsidR="000C3803" w:rsidRDefault="008030C5" w:rsidP="000C3803">
            <w:r>
              <w:t>ATTENDU le dépôt du programme triennal d’immobilisations 2019-2020-2021 par la directrice générale et secrétaire-trésorière ;</w:t>
            </w:r>
          </w:p>
          <w:p w:rsidR="00CD775C" w:rsidRDefault="00CD775C" w:rsidP="000C3803"/>
          <w:p w:rsidR="00CD775C" w:rsidRDefault="00CD775C" w:rsidP="000C3803">
            <w:r>
              <w:t>Par conséquent,</w:t>
            </w:r>
          </w:p>
          <w:p w:rsidR="008030C5" w:rsidRDefault="008030C5" w:rsidP="000C3803"/>
          <w:p w:rsidR="008030C5" w:rsidRDefault="008030C5" w:rsidP="008030C5">
            <w:r w:rsidRPr="008E1920">
              <w:t>IL EST DÛMENT PROPOSÉ</w:t>
            </w:r>
            <w:r>
              <w:t xml:space="preserve"> par </w:t>
            </w:r>
            <w:r w:rsidR="008A62CF">
              <w:t xml:space="preserve">France Robillard Pariseau </w:t>
            </w:r>
            <w:r>
              <w:t xml:space="preserve">et unanimement résolu : </w:t>
            </w:r>
          </w:p>
          <w:p w:rsidR="008030C5" w:rsidRDefault="008030C5" w:rsidP="000C3803"/>
          <w:p w:rsidR="008030C5" w:rsidRDefault="008030C5" w:rsidP="000C3803">
            <w:r>
              <w:t>QUE le conseil adopte tel que déposé le programme triennal d’immobilisations 2019-2020-2021 décrit ci-dessous, à savoir :</w:t>
            </w:r>
          </w:p>
          <w:p w:rsidR="008030C5" w:rsidRDefault="008030C5" w:rsidP="000C3803"/>
          <w:p w:rsidR="00446612" w:rsidRPr="00446612" w:rsidRDefault="00446612" w:rsidP="00446612"/>
          <w:tbl>
            <w:tblPr>
              <w:tblW w:w="0" w:type="auto"/>
              <w:tblInd w:w="100" w:type="dxa"/>
              <w:tblCellMar>
                <w:left w:w="0" w:type="dxa"/>
                <w:right w:w="0" w:type="dxa"/>
              </w:tblCellMar>
              <w:tblLook w:val="0000" w:firstRow="0" w:lastRow="0" w:firstColumn="0" w:lastColumn="0" w:noHBand="0" w:noVBand="0"/>
            </w:tblPr>
            <w:tblGrid>
              <w:gridCol w:w="2700"/>
              <w:gridCol w:w="1673"/>
              <w:gridCol w:w="1031"/>
              <w:gridCol w:w="1043"/>
              <w:gridCol w:w="1033"/>
            </w:tblGrid>
            <w:tr w:rsidR="00446612" w:rsidRPr="00446612" w:rsidTr="00934E41">
              <w:trPr>
                <w:trHeight w:val="268"/>
              </w:trPr>
              <w:tc>
                <w:tcPr>
                  <w:tcW w:w="2700"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rsidR="00446612" w:rsidRPr="00446612" w:rsidRDefault="00446612" w:rsidP="00446612">
                  <w:pPr>
                    <w:rPr>
                      <w:b/>
                      <w:bCs/>
                      <w:color w:val="FFFFFF" w:themeColor="background1"/>
                      <w:sz w:val="18"/>
                      <w:szCs w:val="18"/>
                    </w:rPr>
                  </w:pPr>
                  <w:r w:rsidRPr="00446612">
                    <w:rPr>
                      <w:b/>
                      <w:bCs/>
                      <w:color w:val="FFFFFF" w:themeColor="background1"/>
                      <w:sz w:val="18"/>
                      <w:szCs w:val="18"/>
                    </w:rPr>
                    <w:t>OBJET</w:t>
                  </w:r>
                </w:p>
              </w:tc>
              <w:tc>
                <w:tcPr>
                  <w:tcW w:w="1673"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rsidR="00446612" w:rsidRPr="00446612" w:rsidRDefault="00446612" w:rsidP="00446612">
                  <w:pPr>
                    <w:rPr>
                      <w:b/>
                      <w:bCs/>
                      <w:color w:val="FFFFFF" w:themeColor="background1"/>
                      <w:sz w:val="18"/>
                      <w:szCs w:val="18"/>
                    </w:rPr>
                  </w:pPr>
                  <w:r w:rsidRPr="00446612">
                    <w:rPr>
                      <w:b/>
                      <w:bCs/>
                      <w:color w:val="FFFFFF" w:themeColor="background1"/>
                      <w:sz w:val="18"/>
                      <w:szCs w:val="18"/>
                    </w:rPr>
                    <w:t>FINANCEMENT</w:t>
                  </w:r>
                </w:p>
              </w:tc>
              <w:tc>
                <w:tcPr>
                  <w:tcW w:w="1031"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rsidR="00446612" w:rsidRPr="00446612" w:rsidRDefault="00446612" w:rsidP="00446612">
                  <w:pPr>
                    <w:rPr>
                      <w:b/>
                      <w:bCs/>
                      <w:color w:val="FFFFFF" w:themeColor="background1"/>
                      <w:sz w:val="18"/>
                      <w:szCs w:val="18"/>
                    </w:rPr>
                  </w:pPr>
                  <w:r w:rsidRPr="00446612">
                    <w:rPr>
                      <w:b/>
                      <w:bCs/>
                      <w:color w:val="FFFFFF" w:themeColor="background1"/>
                      <w:sz w:val="18"/>
                      <w:szCs w:val="18"/>
                    </w:rPr>
                    <w:t>2019</w:t>
                  </w:r>
                </w:p>
              </w:tc>
              <w:tc>
                <w:tcPr>
                  <w:tcW w:w="1043"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rsidR="00446612" w:rsidRPr="00446612" w:rsidRDefault="00446612" w:rsidP="00446612">
                  <w:pPr>
                    <w:rPr>
                      <w:b/>
                      <w:bCs/>
                      <w:color w:val="FFFFFF" w:themeColor="background1"/>
                      <w:sz w:val="18"/>
                      <w:szCs w:val="18"/>
                    </w:rPr>
                  </w:pPr>
                  <w:r w:rsidRPr="00446612">
                    <w:rPr>
                      <w:b/>
                      <w:bCs/>
                      <w:color w:val="FFFFFF" w:themeColor="background1"/>
                      <w:sz w:val="18"/>
                      <w:szCs w:val="18"/>
                    </w:rPr>
                    <w:t>2020</w:t>
                  </w:r>
                </w:p>
              </w:tc>
              <w:tc>
                <w:tcPr>
                  <w:tcW w:w="1033" w:type="dxa"/>
                  <w:tcBorders>
                    <w:top w:val="single" w:sz="4" w:space="0" w:color="000000"/>
                    <w:left w:val="single" w:sz="4" w:space="0" w:color="000000"/>
                    <w:bottom w:val="single" w:sz="4" w:space="0" w:color="000000"/>
                    <w:right w:val="single" w:sz="4" w:space="0" w:color="000000"/>
                  </w:tcBorders>
                  <w:shd w:val="clear" w:color="auto" w:fill="595959" w:themeFill="text1" w:themeFillTint="A6"/>
                </w:tcPr>
                <w:p w:rsidR="00446612" w:rsidRPr="00446612" w:rsidRDefault="00446612" w:rsidP="00446612">
                  <w:pPr>
                    <w:rPr>
                      <w:b/>
                      <w:bCs/>
                      <w:color w:val="FFFFFF" w:themeColor="background1"/>
                      <w:sz w:val="18"/>
                      <w:szCs w:val="18"/>
                    </w:rPr>
                  </w:pPr>
                  <w:r w:rsidRPr="00446612">
                    <w:rPr>
                      <w:b/>
                      <w:bCs/>
                      <w:color w:val="FFFFFF" w:themeColor="background1"/>
                      <w:sz w:val="18"/>
                      <w:szCs w:val="18"/>
                    </w:rPr>
                    <w:t>2021</w:t>
                  </w:r>
                </w:p>
              </w:tc>
            </w:tr>
            <w:tr w:rsidR="00446612" w:rsidRPr="00446612" w:rsidTr="00446612">
              <w:trPr>
                <w:trHeight w:val="805"/>
              </w:trPr>
              <w:tc>
                <w:tcPr>
                  <w:tcW w:w="2700"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pPr>
                    <w:rPr>
                      <w:b/>
                      <w:bCs/>
                    </w:rPr>
                  </w:pPr>
                  <w:r w:rsidRPr="00446612">
                    <w:rPr>
                      <w:b/>
                      <w:bCs/>
                    </w:rPr>
                    <w:t>SÉCURITÉ PUBLIQUE</w:t>
                  </w:r>
                </w:p>
                <w:p w:rsidR="00446612" w:rsidRPr="00446612" w:rsidRDefault="00446612" w:rsidP="00446612">
                  <w:r w:rsidRPr="00446612">
                    <w:t>- Équipements divers (centre de sinistre)</w:t>
                  </w:r>
                </w:p>
              </w:tc>
              <w:tc>
                <w:tcPr>
                  <w:tcW w:w="1673"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p w:rsidR="00446612" w:rsidRPr="00446612" w:rsidRDefault="00446612" w:rsidP="00446612">
                  <w:r w:rsidRPr="00446612">
                    <w:t>2</w:t>
                  </w:r>
                </w:p>
              </w:tc>
              <w:tc>
                <w:tcPr>
                  <w:tcW w:w="1031"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p w:rsidR="00446612" w:rsidRPr="00446612" w:rsidRDefault="00446612" w:rsidP="00446612">
                  <w:r w:rsidRPr="00446612">
                    <w:t>2 000 $</w:t>
                  </w:r>
                </w:p>
              </w:tc>
              <w:tc>
                <w:tcPr>
                  <w:tcW w:w="1043"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tc>
              <w:tc>
                <w:tcPr>
                  <w:tcW w:w="1033"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tc>
            </w:tr>
            <w:tr w:rsidR="00446612" w:rsidRPr="00446612" w:rsidTr="00934E41">
              <w:trPr>
                <w:trHeight w:val="684"/>
              </w:trPr>
              <w:tc>
                <w:tcPr>
                  <w:tcW w:w="270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46612" w:rsidRPr="00446612" w:rsidRDefault="00446612" w:rsidP="00446612">
                  <w:pPr>
                    <w:rPr>
                      <w:b/>
                      <w:bCs/>
                    </w:rPr>
                  </w:pPr>
                  <w:r w:rsidRPr="00446612">
                    <w:rPr>
                      <w:b/>
                      <w:bCs/>
                    </w:rPr>
                    <w:t>TRANSPORTS – VOIRIE</w:t>
                  </w:r>
                </w:p>
                <w:p w:rsidR="00446612" w:rsidRPr="00446612" w:rsidRDefault="00446612" w:rsidP="00446612">
                  <w:pPr>
                    <w:numPr>
                      <w:ilvl w:val="0"/>
                      <w:numId w:val="19"/>
                    </w:numPr>
                  </w:pPr>
                  <w:r w:rsidRPr="00446612">
                    <w:t>Travaux électricité au 2</w:t>
                  </w:r>
                  <w:r w:rsidRPr="00446612">
                    <w:rPr>
                      <w:vertAlign w:val="superscript"/>
                    </w:rPr>
                    <w:t>e</w:t>
                  </w:r>
                  <w:r w:rsidRPr="00446612">
                    <w:t xml:space="preserve"> étage</w:t>
                  </w:r>
                </w:p>
                <w:p w:rsidR="00446612" w:rsidRPr="00446612" w:rsidRDefault="00446612" w:rsidP="00446612">
                  <w:pPr>
                    <w:numPr>
                      <w:ilvl w:val="0"/>
                      <w:numId w:val="19"/>
                    </w:numPr>
                  </w:pPr>
                  <w:r w:rsidRPr="00446612">
                    <w:t>Achat chaloupe voirie</w:t>
                  </w:r>
                </w:p>
                <w:p w:rsidR="00446612" w:rsidRPr="00446612" w:rsidRDefault="00446612" w:rsidP="00446612">
                  <w:pPr>
                    <w:numPr>
                      <w:ilvl w:val="0"/>
                      <w:numId w:val="19"/>
                    </w:numPr>
                  </w:pPr>
                  <w:r w:rsidRPr="00446612">
                    <w:t>Réparation pont secteur Sud</w:t>
                  </w:r>
                </w:p>
                <w:p w:rsidR="00446612" w:rsidRPr="00446612" w:rsidRDefault="00446612" w:rsidP="00446612">
                  <w:pPr>
                    <w:numPr>
                      <w:ilvl w:val="0"/>
                      <w:numId w:val="19"/>
                    </w:numPr>
                  </w:pPr>
                  <w:r w:rsidRPr="00446612">
                    <w:t>Plaque vibrante voirie</w:t>
                  </w:r>
                </w:p>
                <w:p w:rsidR="00446612" w:rsidRPr="00446612" w:rsidRDefault="00446612" w:rsidP="00446612">
                  <w:pPr>
                    <w:numPr>
                      <w:ilvl w:val="0"/>
                      <w:numId w:val="19"/>
                    </w:numPr>
                  </w:pPr>
                  <w:r w:rsidRPr="00446612">
                    <w:t>Isolation 2e Étage</w:t>
                  </w:r>
                </w:p>
                <w:p w:rsidR="00446612" w:rsidRPr="00446612" w:rsidRDefault="00446612" w:rsidP="00446612">
                  <w:pPr>
                    <w:numPr>
                      <w:ilvl w:val="0"/>
                      <w:numId w:val="19"/>
                    </w:numPr>
                  </w:pPr>
                  <w:r w:rsidRPr="00446612">
                    <w:t>Luminaires DEL</w:t>
                  </w:r>
                </w:p>
                <w:p w:rsidR="00446612" w:rsidRPr="00446612" w:rsidRDefault="00446612" w:rsidP="00446612">
                  <w:pPr>
                    <w:numPr>
                      <w:ilvl w:val="0"/>
                      <w:numId w:val="19"/>
                    </w:numPr>
                  </w:pPr>
                  <w:r w:rsidRPr="00446612">
                    <w:t>Réfection chemins</w:t>
                  </w:r>
                </w:p>
              </w:tc>
              <w:tc>
                <w:tcPr>
                  <w:tcW w:w="1673" w:type="dxa"/>
                  <w:tcBorders>
                    <w:top w:val="single" w:sz="4" w:space="0" w:color="000000"/>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p w:rsidR="00446612" w:rsidRPr="00446612" w:rsidRDefault="00446612" w:rsidP="00446612">
                  <w:r w:rsidRPr="00446612">
                    <w:t>2</w:t>
                  </w:r>
                </w:p>
              </w:tc>
              <w:tc>
                <w:tcPr>
                  <w:tcW w:w="1031" w:type="dxa"/>
                  <w:tcBorders>
                    <w:top w:val="single" w:sz="4" w:space="0" w:color="000000"/>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p w:rsidR="00446612" w:rsidRPr="00446612" w:rsidRDefault="00446612" w:rsidP="00446612">
                  <w:r w:rsidRPr="00446612">
                    <w:t>10 000 $</w:t>
                  </w:r>
                </w:p>
              </w:tc>
              <w:tc>
                <w:tcPr>
                  <w:tcW w:w="1043" w:type="dxa"/>
                  <w:tcBorders>
                    <w:top w:val="single" w:sz="4" w:space="0" w:color="000000"/>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tc>
              <w:tc>
                <w:tcPr>
                  <w:tcW w:w="1033" w:type="dxa"/>
                  <w:tcBorders>
                    <w:top w:val="single" w:sz="4" w:space="0" w:color="000000"/>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tc>
            </w:tr>
            <w:tr w:rsidR="00446612" w:rsidRPr="00446612" w:rsidTr="00934E41">
              <w:trPr>
                <w:trHeight w:val="393"/>
              </w:trPr>
              <w:tc>
                <w:tcPr>
                  <w:tcW w:w="2700" w:type="dxa"/>
                  <w:vMerge/>
                  <w:tcBorders>
                    <w:top w:val="nil"/>
                    <w:left w:val="single" w:sz="4" w:space="0" w:color="000000"/>
                    <w:bottom w:val="single" w:sz="4" w:space="0" w:color="000000"/>
                    <w:right w:val="single" w:sz="4" w:space="0" w:color="000000"/>
                  </w:tcBorders>
                  <w:shd w:val="clear" w:color="auto" w:fill="D9D9D9" w:themeFill="background1" w:themeFillShade="D9"/>
                </w:tcPr>
                <w:p w:rsidR="00446612" w:rsidRPr="00446612" w:rsidRDefault="00446612" w:rsidP="00446612"/>
              </w:tc>
              <w:tc>
                <w:tcPr>
                  <w:tcW w:w="1673"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r w:rsidRPr="00446612">
                    <w:t>1</w:t>
                  </w:r>
                </w:p>
              </w:tc>
              <w:tc>
                <w:tcPr>
                  <w:tcW w:w="1031"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r w:rsidRPr="00446612">
                    <w:t>6 000 $</w:t>
                  </w:r>
                </w:p>
              </w:tc>
              <w:tc>
                <w:tcPr>
                  <w:tcW w:w="1043"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tc>
              <w:tc>
                <w:tcPr>
                  <w:tcW w:w="1033"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tc>
            </w:tr>
            <w:tr w:rsidR="00446612" w:rsidRPr="00446612" w:rsidTr="00934E41">
              <w:trPr>
                <w:trHeight w:val="393"/>
              </w:trPr>
              <w:tc>
                <w:tcPr>
                  <w:tcW w:w="2700" w:type="dxa"/>
                  <w:vMerge/>
                  <w:tcBorders>
                    <w:top w:val="nil"/>
                    <w:left w:val="single" w:sz="4" w:space="0" w:color="000000"/>
                    <w:bottom w:val="single" w:sz="4" w:space="0" w:color="000000"/>
                    <w:right w:val="single" w:sz="4" w:space="0" w:color="000000"/>
                  </w:tcBorders>
                  <w:shd w:val="clear" w:color="auto" w:fill="D9D9D9" w:themeFill="background1" w:themeFillShade="D9"/>
                </w:tcPr>
                <w:p w:rsidR="00446612" w:rsidRPr="00446612" w:rsidRDefault="00446612" w:rsidP="00446612"/>
              </w:tc>
              <w:tc>
                <w:tcPr>
                  <w:tcW w:w="1673"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r w:rsidRPr="00446612">
                    <w:t>1</w:t>
                  </w:r>
                </w:p>
              </w:tc>
              <w:tc>
                <w:tcPr>
                  <w:tcW w:w="1031"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r w:rsidRPr="00446612">
                    <w:t>5 000 $</w:t>
                  </w:r>
                </w:p>
              </w:tc>
              <w:tc>
                <w:tcPr>
                  <w:tcW w:w="1043"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tc>
              <w:tc>
                <w:tcPr>
                  <w:tcW w:w="1033"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tc>
            </w:tr>
            <w:tr w:rsidR="00446612" w:rsidRPr="00446612" w:rsidTr="00934E41">
              <w:trPr>
                <w:trHeight w:val="393"/>
              </w:trPr>
              <w:tc>
                <w:tcPr>
                  <w:tcW w:w="2700" w:type="dxa"/>
                  <w:vMerge/>
                  <w:tcBorders>
                    <w:top w:val="nil"/>
                    <w:left w:val="single" w:sz="4" w:space="0" w:color="000000"/>
                    <w:bottom w:val="single" w:sz="4" w:space="0" w:color="000000"/>
                    <w:right w:val="single" w:sz="4" w:space="0" w:color="000000"/>
                  </w:tcBorders>
                  <w:shd w:val="clear" w:color="auto" w:fill="D9D9D9" w:themeFill="background1" w:themeFillShade="D9"/>
                </w:tcPr>
                <w:p w:rsidR="00446612" w:rsidRPr="00446612" w:rsidRDefault="00446612" w:rsidP="00446612"/>
              </w:tc>
              <w:tc>
                <w:tcPr>
                  <w:tcW w:w="1673"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r w:rsidRPr="00446612">
                    <w:t>2</w:t>
                  </w:r>
                </w:p>
              </w:tc>
              <w:tc>
                <w:tcPr>
                  <w:tcW w:w="1031"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tc>
              <w:tc>
                <w:tcPr>
                  <w:tcW w:w="1043"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r w:rsidRPr="00446612">
                    <w:t>3 000 $</w:t>
                  </w:r>
                </w:p>
              </w:tc>
              <w:tc>
                <w:tcPr>
                  <w:tcW w:w="1033"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tc>
            </w:tr>
            <w:tr w:rsidR="00446612" w:rsidRPr="00446612" w:rsidTr="00934E41">
              <w:trPr>
                <w:trHeight w:val="259"/>
              </w:trPr>
              <w:tc>
                <w:tcPr>
                  <w:tcW w:w="2700" w:type="dxa"/>
                  <w:vMerge/>
                  <w:tcBorders>
                    <w:top w:val="nil"/>
                    <w:left w:val="single" w:sz="4" w:space="0" w:color="000000"/>
                    <w:bottom w:val="single" w:sz="4" w:space="0" w:color="000000"/>
                    <w:right w:val="single" w:sz="4" w:space="0" w:color="000000"/>
                  </w:tcBorders>
                  <w:shd w:val="clear" w:color="auto" w:fill="D9D9D9" w:themeFill="background1" w:themeFillShade="D9"/>
                </w:tcPr>
                <w:p w:rsidR="00446612" w:rsidRPr="00446612" w:rsidRDefault="00446612" w:rsidP="00446612"/>
              </w:tc>
              <w:tc>
                <w:tcPr>
                  <w:tcW w:w="1673"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r w:rsidRPr="00446612">
                    <w:t>2</w:t>
                  </w:r>
                </w:p>
              </w:tc>
              <w:tc>
                <w:tcPr>
                  <w:tcW w:w="1031"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tc>
              <w:tc>
                <w:tcPr>
                  <w:tcW w:w="1043"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r w:rsidRPr="00446612">
                    <w:t>15 000 $</w:t>
                  </w:r>
                </w:p>
              </w:tc>
              <w:tc>
                <w:tcPr>
                  <w:tcW w:w="1033"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tc>
            </w:tr>
            <w:tr w:rsidR="00446612" w:rsidRPr="00446612" w:rsidTr="00934E41">
              <w:trPr>
                <w:trHeight w:val="257"/>
              </w:trPr>
              <w:tc>
                <w:tcPr>
                  <w:tcW w:w="2700" w:type="dxa"/>
                  <w:vMerge/>
                  <w:tcBorders>
                    <w:top w:val="nil"/>
                    <w:left w:val="single" w:sz="4" w:space="0" w:color="000000"/>
                    <w:bottom w:val="single" w:sz="4" w:space="0" w:color="000000"/>
                    <w:right w:val="single" w:sz="4" w:space="0" w:color="000000"/>
                  </w:tcBorders>
                  <w:shd w:val="clear" w:color="auto" w:fill="D9D9D9" w:themeFill="background1" w:themeFillShade="D9"/>
                </w:tcPr>
                <w:p w:rsidR="00446612" w:rsidRPr="00446612" w:rsidRDefault="00446612" w:rsidP="00446612"/>
              </w:tc>
              <w:tc>
                <w:tcPr>
                  <w:tcW w:w="1673"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r w:rsidRPr="00446612">
                    <w:t>1</w:t>
                  </w:r>
                </w:p>
              </w:tc>
              <w:tc>
                <w:tcPr>
                  <w:tcW w:w="1031"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tc>
              <w:tc>
                <w:tcPr>
                  <w:tcW w:w="1043"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r w:rsidRPr="00446612">
                    <w:t>25 000 $</w:t>
                  </w:r>
                </w:p>
              </w:tc>
              <w:tc>
                <w:tcPr>
                  <w:tcW w:w="1033"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tc>
            </w:tr>
            <w:tr w:rsidR="00446612" w:rsidRPr="00446612" w:rsidTr="00934E41">
              <w:trPr>
                <w:trHeight w:val="243"/>
              </w:trPr>
              <w:tc>
                <w:tcPr>
                  <w:tcW w:w="2700" w:type="dxa"/>
                  <w:vMerge/>
                  <w:tcBorders>
                    <w:top w:val="nil"/>
                    <w:left w:val="single" w:sz="4" w:space="0" w:color="000000"/>
                    <w:bottom w:val="single" w:sz="4" w:space="0" w:color="000000"/>
                    <w:right w:val="single" w:sz="4" w:space="0" w:color="000000"/>
                  </w:tcBorders>
                  <w:shd w:val="clear" w:color="auto" w:fill="D9D9D9" w:themeFill="background1" w:themeFillShade="D9"/>
                </w:tcPr>
                <w:p w:rsidR="00446612" w:rsidRPr="00446612" w:rsidRDefault="00446612" w:rsidP="00446612"/>
              </w:tc>
              <w:tc>
                <w:tcPr>
                  <w:tcW w:w="1673" w:type="dxa"/>
                  <w:tcBorders>
                    <w:top w:val="none" w:sz="6" w:space="0" w:color="auto"/>
                    <w:left w:val="single" w:sz="4" w:space="0" w:color="000000"/>
                    <w:bottom w:val="single" w:sz="4" w:space="0" w:color="000000"/>
                    <w:right w:val="single" w:sz="4" w:space="0" w:color="000000"/>
                  </w:tcBorders>
                  <w:shd w:val="clear" w:color="auto" w:fill="D9D9D9" w:themeFill="background1" w:themeFillShade="D9"/>
                </w:tcPr>
                <w:p w:rsidR="00446612" w:rsidRPr="00446612" w:rsidRDefault="00446612" w:rsidP="00446612">
                  <w:r w:rsidRPr="00446612">
                    <w:t>2</w:t>
                  </w:r>
                </w:p>
              </w:tc>
              <w:tc>
                <w:tcPr>
                  <w:tcW w:w="1031" w:type="dxa"/>
                  <w:tcBorders>
                    <w:top w:val="none" w:sz="6" w:space="0" w:color="auto"/>
                    <w:left w:val="single" w:sz="4" w:space="0" w:color="000000"/>
                    <w:bottom w:val="single" w:sz="4" w:space="0" w:color="000000"/>
                    <w:right w:val="single" w:sz="4" w:space="0" w:color="000000"/>
                  </w:tcBorders>
                  <w:shd w:val="clear" w:color="auto" w:fill="D9D9D9" w:themeFill="background1" w:themeFillShade="D9"/>
                </w:tcPr>
                <w:p w:rsidR="00446612" w:rsidRPr="00446612" w:rsidRDefault="00446612" w:rsidP="00446612"/>
              </w:tc>
              <w:tc>
                <w:tcPr>
                  <w:tcW w:w="1043" w:type="dxa"/>
                  <w:tcBorders>
                    <w:top w:val="none" w:sz="6" w:space="0" w:color="auto"/>
                    <w:left w:val="single" w:sz="4" w:space="0" w:color="000000"/>
                    <w:bottom w:val="single" w:sz="4" w:space="0" w:color="000000"/>
                    <w:right w:val="single" w:sz="4" w:space="0" w:color="000000"/>
                  </w:tcBorders>
                  <w:shd w:val="clear" w:color="auto" w:fill="D9D9D9" w:themeFill="background1" w:themeFillShade="D9"/>
                </w:tcPr>
                <w:p w:rsidR="00446612" w:rsidRPr="00446612" w:rsidRDefault="00446612" w:rsidP="00446612">
                  <w:r w:rsidRPr="00446612">
                    <w:t>50 000 $</w:t>
                  </w:r>
                </w:p>
              </w:tc>
              <w:tc>
                <w:tcPr>
                  <w:tcW w:w="1033" w:type="dxa"/>
                  <w:tcBorders>
                    <w:top w:val="none" w:sz="6" w:space="0" w:color="auto"/>
                    <w:left w:val="single" w:sz="4" w:space="0" w:color="000000"/>
                    <w:bottom w:val="single" w:sz="4" w:space="0" w:color="000000"/>
                    <w:right w:val="single" w:sz="4" w:space="0" w:color="000000"/>
                  </w:tcBorders>
                  <w:shd w:val="clear" w:color="auto" w:fill="D9D9D9" w:themeFill="background1" w:themeFillShade="D9"/>
                </w:tcPr>
                <w:p w:rsidR="00446612" w:rsidRPr="00446612" w:rsidRDefault="00446612" w:rsidP="00446612">
                  <w:r w:rsidRPr="00446612">
                    <w:t>150 000 $</w:t>
                  </w:r>
                </w:p>
              </w:tc>
            </w:tr>
            <w:tr w:rsidR="00446612" w:rsidRPr="00446612" w:rsidTr="00446612">
              <w:trPr>
                <w:trHeight w:val="805"/>
              </w:trPr>
              <w:tc>
                <w:tcPr>
                  <w:tcW w:w="2700"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pPr>
                    <w:rPr>
                      <w:b/>
                      <w:bCs/>
                    </w:rPr>
                  </w:pPr>
                  <w:r w:rsidRPr="00446612">
                    <w:rPr>
                      <w:b/>
                      <w:bCs/>
                    </w:rPr>
                    <w:t>HYGIÈNE DU MILIEU</w:t>
                  </w:r>
                </w:p>
                <w:p w:rsidR="00446612" w:rsidRPr="00446612" w:rsidRDefault="00446612" w:rsidP="00446612">
                  <w:r w:rsidRPr="00446612">
                    <w:t>- Bloc sanitaire au Pavillon</w:t>
                  </w:r>
                </w:p>
              </w:tc>
              <w:tc>
                <w:tcPr>
                  <w:tcW w:w="1673"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p w:rsidR="00446612" w:rsidRPr="00446612" w:rsidRDefault="00446612" w:rsidP="00446612">
                  <w:r w:rsidRPr="00446612">
                    <w:t>2</w:t>
                  </w:r>
                </w:p>
              </w:tc>
              <w:tc>
                <w:tcPr>
                  <w:tcW w:w="1031"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tc>
              <w:tc>
                <w:tcPr>
                  <w:tcW w:w="1043"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p w:rsidR="00446612" w:rsidRPr="00446612" w:rsidRDefault="00446612" w:rsidP="00446612">
                  <w:r w:rsidRPr="00446612">
                    <w:t>113 327 $</w:t>
                  </w:r>
                </w:p>
              </w:tc>
              <w:tc>
                <w:tcPr>
                  <w:tcW w:w="1033"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tc>
            </w:tr>
            <w:tr w:rsidR="00446612" w:rsidRPr="00446612" w:rsidTr="00934E41">
              <w:trPr>
                <w:trHeight w:val="952"/>
              </w:trPr>
              <w:tc>
                <w:tcPr>
                  <w:tcW w:w="270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46612" w:rsidRPr="00446612" w:rsidRDefault="00446612" w:rsidP="00446612">
                  <w:pPr>
                    <w:rPr>
                      <w:b/>
                      <w:bCs/>
                    </w:rPr>
                  </w:pPr>
                  <w:r w:rsidRPr="00446612">
                    <w:rPr>
                      <w:b/>
                      <w:bCs/>
                    </w:rPr>
                    <w:t>URBANISME ET ENVIRONNEMENT</w:t>
                  </w:r>
                </w:p>
                <w:p w:rsidR="00446612" w:rsidRPr="00446612" w:rsidRDefault="00446612" w:rsidP="00446612">
                  <w:pPr>
                    <w:numPr>
                      <w:ilvl w:val="0"/>
                      <w:numId w:val="18"/>
                    </w:numPr>
                  </w:pPr>
                  <w:r w:rsidRPr="00446612">
                    <w:t>Panneaux noms de rues</w:t>
                  </w:r>
                </w:p>
                <w:p w:rsidR="00446612" w:rsidRPr="00446612" w:rsidRDefault="00446612" w:rsidP="00446612">
                  <w:pPr>
                    <w:numPr>
                      <w:ilvl w:val="0"/>
                      <w:numId w:val="18"/>
                    </w:numPr>
                  </w:pPr>
                  <w:r w:rsidRPr="00446612">
                    <w:t>Installations septiques du Centre Marcel- Tassé</w:t>
                  </w:r>
                </w:p>
                <w:p w:rsidR="00446612" w:rsidRPr="00446612" w:rsidRDefault="00446612" w:rsidP="00446612">
                  <w:pPr>
                    <w:numPr>
                      <w:ilvl w:val="0"/>
                      <w:numId w:val="18"/>
                    </w:numPr>
                  </w:pPr>
                  <w:r w:rsidRPr="00446612">
                    <w:t>Fonds de prévision barrage</w:t>
                  </w:r>
                </w:p>
              </w:tc>
              <w:tc>
                <w:tcPr>
                  <w:tcW w:w="1673" w:type="dxa"/>
                  <w:tcBorders>
                    <w:top w:val="single" w:sz="4" w:space="0" w:color="000000"/>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p w:rsidR="00446612" w:rsidRPr="00446612" w:rsidRDefault="00446612" w:rsidP="00446612">
                  <w:r w:rsidRPr="00446612">
                    <w:t>1</w:t>
                  </w:r>
                </w:p>
              </w:tc>
              <w:tc>
                <w:tcPr>
                  <w:tcW w:w="1031" w:type="dxa"/>
                  <w:tcBorders>
                    <w:top w:val="single" w:sz="4" w:space="0" w:color="000000"/>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p w:rsidR="00446612" w:rsidRPr="00446612" w:rsidRDefault="00446612" w:rsidP="00446612">
                  <w:r w:rsidRPr="00446612">
                    <w:t>8 000 $</w:t>
                  </w:r>
                </w:p>
              </w:tc>
              <w:tc>
                <w:tcPr>
                  <w:tcW w:w="1043" w:type="dxa"/>
                  <w:tcBorders>
                    <w:top w:val="single" w:sz="4" w:space="0" w:color="000000"/>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tc>
              <w:tc>
                <w:tcPr>
                  <w:tcW w:w="1033" w:type="dxa"/>
                  <w:tcBorders>
                    <w:top w:val="single" w:sz="4" w:space="0" w:color="000000"/>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tc>
            </w:tr>
            <w:tr w:rsidR="00446612" w:rsidRPr="00446612" w:rsidTr="00934E41">
              <w:trPr>
                <w:trHeight w:val="662"/>
              </w:trPr>
              <w:tc>
                <w:tcPr>
                  <w:tcW w:w="2700" w:type="dxa"/>
                  <w:vMerge/>
                  <w:tcBorders>
                    <w:top w:val="nil"/>
                    <w:left w:val="single" w:sz="4" w:space="0" w:color="000000"/>
                    <w:bottom w:val="single" w:sz="4" w:space="0" w:color="000000"/>
                    <w:right w:val="single" w:sz="4" w:space="0" w:color="000000"/>
                  </w:tcBorders>
                  <w:shd w:val="clear" w:color="auto" w:fill="D9D9D9" w:themeFill="background1" w:themeFillShade="D9"/>
                </w:tcPr>
                <w:p w:rsidR="00446612" w:rsidRPr="00446612" w:rsidRDefault="00446612" w:rsidP="00446612"/>
              </w:tc>
              <w:tc>
                <w:tcPr>
                  <w:tcW w:w="1673"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r w:rsidRPr="00446612">
                    <w:t>1</w:t>
                  </w:r>
                </w:p>
              </w:tc>
              <w:tc>
                <w:tcPr>
                  <w:tcW w:w="1031"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tc>
              <w:tc>
                <w:tcPr>
                  <w:tcW w:w="1043"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tc>
              <w:tc>
                <w:tcPr>
                  <w:tcW w:w="1033" w:type="dxa"/>
                  <w:tcBorders>
                    <w:top w:val="none" w:sz="6" w:space="0" w:color="auto"/>
                    <w:left w:val="single" w:sz="4" w:space="0" w:color="000000"/>
                    <w:bottom w:val="none" w:sz="6" w:space="0" w:color="auto"/>
                    <w:right w:val="single" w:sz="4" w:space="0" w:color="000000"/>
                  </w:tcBorders>
                  <w:shd w:val="clear" w:color="auto" w:fill="D9D9D9" w:themeFill="background1" w:themeFillShade="D9"/>
                </w:tcPr>
                <w:p w:rsidR="00446612" w:rsidRPr="00446612" w:rsidRDefault="00446612" w:rsidP="00446612">
                  <w:r w:rsidRPr="00446612">
                    <w:t>50 000 $</w:t>
                  </w:r>
                </w:p>
              </w:tc>
            </w:tr>
            <w:tr w:rsidR="00446612" w:rsidRPr="00446612" w:rsidTr="00934E41">
              <w:trPr>
                <w:trHeight w:val="1317"/>
              </w:trPr>
              <w:tc>
                <w:tcPr>
                  <w:tcW w:w="2700" w:type="dxa"/>
                  <w:vMerge/>
                  <w:tcBorders>
                    <w:top w:val="nil"/>
                    <w:left w:val="single" w:sz="4" w:space="0" w:color="000000"/>
                    <w:bottom w:val="single" w:sz="4" w:space="0" w:color="000000"/>
                    <w:right w:val="single" w:sz="4" w:space="0" w:color="000000"/>
                  </w:tcBorders>
                  <w:shd w:val="clear" w:color="auto" w:fill="D9D9D9" w:themeFill="background1" w:themeFillShade="D9"/>
                </w:tcPr>
                <w:p w:rsidR="00446612" w:rsidRPr="00446612" w:rsidRDefault="00446612" w:rsidP="00446612"/>
              </w:tc>
              <w:tc>
                <w:tcPr>
                  <w:tcW w:w="1673" w:type="dxa"/>
                  <w:tcBorders>
                    <w:top w:val="none" w:sz="6" w:space="0" w:color="auto"/>
                    <w:left w:val="single" w:sz="4" w:space="0" w:color="000000"/>
                    <w:bottom w:val="single" w:sz="4" w:space="0" w:color="000000"/>
                    <w:right w:val="single" w:sz="4" w:space="0" w:color="000000"/>
                  </w:tcBorders>
                  <w:shd w:val="clear" w:color="auto" w:fill="D9D9D9" w:themeFill="background1" w:themeFillShade="D9"/>
                </w:tcPr>
                <w:p w:rsidR="00446612" w:rsidRPr="00446612" w:rsidRDefault="00446612" w:rsidP="00446612"/>
                <w:p w:rsidR="00446612" w:rsidRPr="00446612" w:rsidRDefault="00446612" w:rsidP="00446612">
                  <w:r w:rsidRPr="00446612">
                    <w:t>3</w:t>
                  </w:r>
                </w:p>
              </w:tc>
              <w:tc>
                <w:tcPr>
                  <w:tcW w:w="1031" w:type="dxa"/>
                  <w:tcBorders>
                    <w:top w:val="none" w:sz="6" w:space="0" w:color="auto"/>
                    <w:left w:val="single" w:sz="4" w:space="0" w:color="000000"/>
                    <w:bottom w:val="single" w:sz="4" w:space="0" w:color="000000"/>
                    <w:right w:val="single" w:sz="4" w:space="0" w:color="000000"/>
                  </w:tcBorders>
                  <w:shd w:val="clear" w:color="auto" w:fill="D9D9D9" w:themeFill="background1" w:themeFillShade="D9"/>
                </w:tcPr>
                <w:p w:rsidR="00446612" w:rsidRPr="00446612" w:rsidRDefault="00446612" w:rsidP="00446612"/>
                <w:p w:rsidR="00446612" w:rsidRPr="00446612" w:rsidRDefault="00446612" w:rsidP="00446612">
                  <w:r w:rsidRPr="00446612">
                    <w:t>5 000 $</w:t>
                  </w:r>
                </w:p>
              </w:tc>
              <w:tc>
                <w:tcPr>
                  <w:tcW w:w="1043" w:type="dxa"/>
                  <w:tcBorders>
                    <w:top w:val="none" w:sz="6" w:space="0" w:color="auto"/>
                    <w:left w:val="single" w:sz="4" w:space="0" w:color="000000"/>
                    <w:bottom w:val="single" w:sz="4" w:space="0" w:color="000000"/>
                    <w:right w:val="single" w:sz="4" w:space="0" w:color="000000"/>
                  </w:tcBorders>
                  <w:shd w:val="clear" w:color="auto" w:fill="D9D9D9" w:themeFill="background1" w:themeFillShade="D9"/>
                </w:tcPr>
                <w:p w:rsidR="00446612" w:rsidRPr="00446612" w:rsidRDefault="00446612" w:rsidP="00446612"/>
                <w:p w:rsidR="00446612" w:rsidRPr="00446612" w:rsidRDefault="00446612" w:rsidP="00446612">
                  <w:r w:rsidRPr="00446612">
                    <w:t>5 000 $</w:t>
                  </w:r>
                </w:p>
              </w:tc>
              <w:tc>
                <w:tcPr>
                  <w:tcW w:w="1033" w:type="dxa"/>
                  <w:tcBorders>
                    <w:top w:val="none" w:sz="6" w:space="0" w:color="auto"/>
                    <w:left w:val="single" w:sz="4" w:space="0" w:color="000000"/>
                    <w:bottom w:val="single" w:sz="4" w:space="0" w:color="000000"/>
                    <w:right w:val="single" w:sz="4" w:space="0" w:color="000000"/>
                  </w:tcBorders>
                  <w:shd w:val="clear" w:color="auto" w:fill="D9D9D9" w:themeFill="background1" w:themeFillShade="D9"/>
                </w:tcPr>
                <w:p w:rsidR="00446612" w:rsidRPr="00446612" w:rsidRDefault="00446612" w:rsidP="00446612"/>
                <w:p w:rsidR="00446612" w:rsidRPr="00446612" w:rsidRDefault="00446612" w:rsidP="00446612">
                  <w:r w:rsidRPr="00446612">
                    <w:t>5 000 $</w:t>
                  </w:r>
                </w:p>
              </w:tc>
            </w:tr>
            <w:tr w:rsidR="00446612" w:rsidRPr="00446612" w:rsidTr="00446612">
              <w:trPr>
                <w:trHeight w:val="686"/>
              </w:trPr>
              <w:tc>
                <w:tcPr>
                  <w:tcW w:w="2700" w:type="dxa"/>
                  <w:vMerge w:val="restart"/>
                  <w:tcBorders>
                    <w:top w:val="single" w:sz="4" w:space="0" w:color="000000"/>
                    <w:left w:val="single" w:sz="4" w:space="0" w:color="000000"/>
                    <w:bottom w:val="single" w:sz="4" w:space="0" w:color="000000"/>
                    <w:right w:val="single" w:sz="4" w:space="0" w:color="000000"/>
                  </w:tcBorders>
                </w:tcPr>
                <w:p w:rsidR="00446612" w:rsidRPr="00446612" w:rsidRDefault="00446612" w:rsidP="00446612">
                  <w:pPr>
                    <w:rPr>
                      <w:b/>
                      <w:bCs/>
                    </w:rPr>
                  </w:pPr>
                  <w:r w:rsidRPr="00446612">
                    <w:rPr>
                      <w:b/>
                      <w:bCs/>
                    </w:rPr>
                    <w:t>LOISIRS ET CULTURE</w:t>
                  </w:r>
                </w:p>
                <w:p w:rsidR="00446612" w:rsidRPr="00446612" w:rsidRDefault="00446612" w:rsidP="00446612">
                  <w:pPr>
                    <w:numPr>
                      <w:ilvl w:val="0"/>
                      <w:numId w:val="17"/>
                    </w:numPr>
                  </w:pPr>
                  <w:r w:rsidRPr="00446612">
                    <w:t>Aménagements à la plage</w:t>
                  </w:r>
                </w:p>
                <w:p w:rsidR="00446612" w:rsidRPr="00446612" w:rsidRDefault="00446612" w:rsidP="00446612">
                  <w:pPr>
                    <w:numPr>
                      <w:ilvl w:val="0"/>
                      <w:numId w:val="17"/>
                    </w:numPr>
                  </w:pPr>
                  <w:r w:rsidRPr="00446612">
                    <w:t>Remplacement et ajout doigts de quai et réfection</w:t>
                  </w:r>
                </w:p>
                <w:p w:rsidR="00446612" w:rsidRPr="00446612" w:rsidRDefault="00446612" w:rsidP="00446612">
                  <w:pPr>
                    <w:numPr>
                      <w:ilvl w:val="0"/>
                      <w:numId w:val="17"/>
                    </w:numPr>
                  </w:pPr>
                  <w:r w:rsidRPr="00446612">
                    <w:t>Aménagement terrain de soccer, Parc John Prince</w:t>
                  </w:r>
                </w:p>
              </w:tc>
              <w:tc>
                <w:tcPr>
                  <w:tcW w:w="1673" w:type="dxa"/>
                  <w:tcBorders>
                    <w:top w:val="single" w:sz="4" w:space="0" w:color="000000"/>
                    <w:left w:val="single" w:sz="4" w:space="0" w:color="000000"/>
                    <w:bottom w:val="none" w:sz="6" w:space="0" w:color="auto"/>
                    <w:right w:val="single" w:sz="4" w:space="0" w:color="000000"/>
                  </w:tcBorders>
                </w:tcPr>
                <w:p w:rsidR="00446612" w:rsidRPr="00446612" w:rsidRDefault="00446612" w:rsidP="00446612"/>
                <w:p w:rsidR="00446612" w:rsidRPr="00446612" w:rsidRDefault="00446612" w:rsidP="00446612">
                  <w:r w:rsidRPr="00446612">
                    <w:t>2</w:t>
                  </w:r>
                </w:p>
              </w:tc>
              <w:tc>
                <w:tcPr>
                  <w:tcW w:w="1031" w:type="dxa"/>
                  <w:tcBorders>
                    <w:top w:val="single" w:sz="4" w:space="0" w:color="000000"/>
                    <w:left w:val="single" w:sz="4" w:space="0" w:color="000000"/>
                    <w:bottom w:val="none" w:sz="6" w:space="0" w:color="auto"/>
                    <w:right w:val="single" w:sz="4" w:space="0" w:color="000000"/>
                  </w:tcBorders>
                </w:tcPr>
                <w:p w:rsidR="00446612" w:rsidRPr="00446612" w:rsidRDefault="00446612" w:rsidP="00446612"/>
                <w:p w:rsidR="00446612" w:rsidRPr="00446612" w:rsidRDefault="00446612" w:rsidP="00446612">
                  <w:r w:rsidRPr="00446612">
                    <w:t>20 000 $</w:t>
                  </w:r>
                </w:p>
              </w:tc>
              <w:tc>
                <w:tcPr>
                  <w:tcW w:w="1043" w:type="dxa"/>
                  <w:tcBorders>
                    <w:top w:val="single" w:sz="4" w:space="0" w:color="000000"/>
                    <w:left w:val="single" w:sz="4" w:space="0" w:color="000000"/>
                    <w:bottom w:val="none" w:sz="6" w:space="0" w:color="auto"/>
                    <w:right w:val="single" w:sz="4" w:space="0" w:color="000000"/>
                  </w:tcBorders>
                </w:tcPr>
                <w:p w:rsidR="00446612" w:rsidRPr="00446612" w:rsidRDefault="00446612" w:rsidP="00446612"/>
              </w:tc>
              <w:tc>
                <w:tcPr>
                  <w:tcW w:w="1033" w:type="dxa"/>
                  <w:tcBorders>
                    <w:top w:val="single" w:sz="4" w:space="0" w:color="000000"/>
                    <w:left w:val="single" w:sz="4" w:space="0" w:color="000000"/>
                    <w:bottom w:val="none" w:sz="6" w:space="0" w:color="auto"/>
                    <w:right w:val="single" w:sz="4" w:space="0" w:color="000000"/>
                  </w:tcBorders>
                </w:tcPr>
                <w:p w:rsidR="00446612" w:rsidRPr="00446612" w:rsidRDefault="00446612" w:rsidP="00446612"/>
              </w:tc>
            </w:tr>
            <w:tr w:rsidR="00446612" w:rsidRPr="00446612" w:rsidTr="00446612">
              <w:trPr>
                <w:trHeight w:val="661"/>
              </w:trPr>
              <w:tc>
                <w:tcPr>
                  <w:tcW w:w="2700" w:type="dxa"/>
                  <w:vMerge/>
                  <w:tcBorders>
                    <w:top w:val="nil"/>
                    <w:left w:val="single" w:sz="4" w:space="0" w:color="000000"/>
                    <w:bottom w:val="single" w:sz="4" w:space="0" w:color="000000"/>
                    <w:right w:val="single" w:sz="4" w:space="0" w:color="000000"/>
                  </w:tcBorders>
                </w:tcPr>
                <w:p w:rsidR="00446612" w:rsidRPr="00446612" w:rsidRDefault="00446612" w:rsidP="00446612"/>
              </w:tc>
              <w:tc>
                <w:tcPr>
                  <w:tcW w:w="1673" w:type="dxa"/>
                  <w:tcBorders>
                    <w:top w:val="none" w:sz="6" w:space="0" w:color="auto"/>
                    <w:left w:val="single" w:sz="4" w:space="0" w:color="000000"/>
                    <w:bottom w:val="none" w:sz="6" w:space="0" w:color="auto"/>
                    <w:right w:val="single" w:sz="4" w:space="0" w:color="000000"/>
                  </w:tcBorders>
                </w:tcPr>
                <w:p w:rsidR="00446612" w:rsidRPr="00446612" w:rsidRDefault="00446612" w:rsidP="00446612">
                  <w:r w:rsidRPr="00446612">
                    <w:t>3</w:t>
                  </w:r>
                </w:p>
              </w:tc>
              <w:tc>
                <w:tcPr>
                  <w:tcW w:w="1031" w:type="dxa"/>
                  <w:tcBorders>
                    <w:top w:val="none" w:sz="6" w:space="0" w:color="auto"/>
                    <w:left w:val="single" w:sz="4" w:space="0" w:color="000000"/>
                    <w:bottom w:val="none" w:sz="6" w:space="0" w:color="auto"/>
                    <w:right w:val="single" w:sz="4" w:space="0" w:color="000000"/>
                  </w:tcBorders>
                </w:tcPr>
                <w:p w:rsidR="00446612" w:rsidRPr="00446612" w:rsidRDefault="00446612" w:rsidP="00446612">
                  <w:r w:rsidRPr="00446612">
                    <w:t>20 000 $</w:t>
                  </w:r>
                </w:p>
              </w:tc>
              <w:tc>
                <w:tcPr>
                  <w:tcW w:w="1043" w:type="dxa"/>
                  <w:tcBorders>
                    <w:top w:val="none" w:sz="6" w:space="0" w:color="auto"/>
                    <w:left w:val="single" w:sz="4" w:space="0" w:color="000000"/>
                    <w:bottom w:val="none" w:sz="6" w:space="0" w:color="auto"/>
                    <w:right w:val="single" w:sz="4" w:space="0" w:color="000000"/>
                  </w:tcBorders>
                </w:tcPr>
                <w:p w:rsidR="00446612" w:rsidRPr="00446612" w:rsidRDefault="00446612" w:rsidP="00446612">
                  <w:r w:rsidRPr="00446612">
                    <w:t>10 000 $</w:t>
                  </w:r>
                </w:p>
              </w:tc>
              <w:tc>
                <w:tcPr>
                  <w:tcW w:w="1033" w:type="dxa"/>
                  <w:tcBorders>
                    <w:top w:val="none" w:sz="6" w:space="0" w:color="auto"/>
                    <w:left w:val="single" w:sz="4" w:space="0" w:color="000000"/>
                    <w:bottom w:val="none" w:sz="6" w:space="0" w:color="auto"/>
                    <w:right w:val="single" w:sz="4" w:space="0" w:color="000000"/>
                  </w:tcBorders>
                </w:tcPr>
                <w:p w:rsidR="00446612" w:rsidRPr="00446612" w:rsidRDefault="00446612" w:rsidP="00446612">
                  <w:r w:rsidRPr="00446612">
                    <w:t>10 000 $</w:t>
                  </w:r>
                </w:p>
              </w:tc>
            </w:tr>
            <w:tr w:rsidR="00446612" w:rsidRPr="00446612" w:rsidTr="00446612">
              <w:trPr>
                <w:trHeight w:val="1050"/>
              </w:trPr>
              <w:tc>
                <w:tcPr>
                  <w:tcW w:w="2700" w:type="dxa"/>
                  <w:vMerge/>
                  <w:tcBorders>
                    <w:top w:val="nil"/>
                    <w:left w:val="single" w:sz="4" w:space="0" w:color="000000"/>
                    <w:bottom w:val="single" w:sz="4" w:space="0" w:color="000000"/>
                    <w:right w:val="single" w:sz="4" w:space="0" w:color="000000"/>
                  </w:tcBorders>
                </w:tcPr>
                <w:p w:rsidR="00446612" w:rsidRPr="00446612" w:rsidRDefault="00446612" w:rsidP="00446612"/>
              </w:tc>
              <w:tc>
                <w:tcPr>
                  <w:tcW w:w="1673" w:type="dxa"/>
                  <w:tcBorders>
                    <w:top w:val="none" w:sz="6" w:space="0" w:color="auto"/>
                    <w:left w:val="single" w:sz="4" w:space="0" w:color="000000"/>
                    <w:bottom w:val="single" w:sz="4" w:space="0" w:color="000000"/>
                    <w:right w:val="single" w:sz="4" w:space="0" w:color="000000"/>
                  </w:tcBorders>
                </w:tcPr>
                <w:p w:rsidR="00446612" w:rsidRPr="00446612" w:rsidRDefault="00446612" w:rsidP="00446612"/>
                <w:p w:rsidR="00446612" w:rsidRPr="00446612" w:rsidRDefault="00446612" w:rsidP="00446612">
                  <w:r w:rsidRPr="00446612">
                    <w:t>1</w:t>
                  </w:r>
                </w:p>
              </w:tc>
              <w:tc>
                <w:tcPr>
                  <w:tcW w:w="1031" w:type="dxa"/>
                  <w:tcBorders>
                    <w:top w:val="none" w:sz="6" w:space="0" w:color="auto"/>
                    <w:left w:val="single" w:sz="4" w:space="0" w:color="000000"/>
                    <w:bottom w:val="single" w:sz="4" w:space="0" w:color="000000"/>
                    <w:right w:val="single" w:sz="4" w:space="0" w:color="000000"/>
                  </w:tcBorders>
                </w:tcPr>
                <w:p w:rsidR="00446612" w:rsidRPr="00446612" w:rsidRDefault="00446612" w:rsidP="00446612"/>
              </w:tc>
              <w:tc>
                <w:tcPr>
                  <w:tcW w:w="1043" w:type="dxa"/>
                  <w:tcBorders>
                    <w:top w:val="none" w:sz="6" w:space="0" w:color="auto"/>
                    <w:left w:val="single" w:sz="4" w:space="0" w:color="000000"/>
                    <w:bottom w:val="single" w:sz="4" w:space="0" w:color="000000"/>
                    <w:right w:val="single" w:sz="4" w:space="0" w:color="000000"/>
                  </w:tcBorders>
                </w:tcPr>
                <w:p w:rsidR="00446612" w:rsidRPr="00446612" w:rsidRDefault="00446612" w:rsidP="00446612"/>
                <w:p w:rsidR="00446612" w:rsidRPr="00446612" w:rsidRDefault="00446612" w:rsidP="00446612">
                  <w:r w:rsidRPr="00446612">
                    <w:t>5 500 $</w:t>
                  </w:r>
                </w:p>
              </w:tc>
              <w:tc>
                <w:tcPr>
                  <w:tcW w:w="1033" w:type="dxa"/>
                  <w:tcBorders>
                    <w:top w:val="none" w:sz="6" w:space="0" w:color="auto"/>
                    <w:left w:val="single" w:sz="4" w:space="0" w:color="000000"/>
                    <w:bottom w:val="single" w:sz="4" w:space="0" w:color="000000"/>
                    <w:right w:val="single" w:sz="4" w:space="0" w:color="000000"/>
                  </w:tcBorders>
                </w:tcPr>
                <w:p w:rsidR="00446612" w:rsidRPr="00446612" w:rsidRDefault="00446612" w:rsidP="00446612"/>
              </w:tc>
            </w:tr>
            <w:tr w:rsidR="00446612" w:rsidRPr="00446612" w:rsidTr="00446612">
              <w:trPr>
                <w:trHeight w:val="266"/>
              </w:trPr>
              <w:tc>
                <w:tcPr>
                  <w:tcW w:w="2700"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pPr>
                    <w:rPr>
                      <w:b/>
                      <w:bCs/>
                    </w:rPr>
                  </w:pPr>
                  <w:r w:rsidRPr="00446612">
                    <w:rPr>
                      <w:b/>
                      <w:bCs/>
                    </w:rPr>
                    <w:t>TOTAL :</w:t>
                  </w:r>
                </w:p>
              </w:tc>
              <w:tc>
                <w:tcPr>
                  <w:tcW w:w="1673"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tc>
              <w:tc>
                <w:tcPr>
                  <w:tcW w:w="1031"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pPr>
                    <w:rPr>
                      <w:b/>
                      <w:bCs/>
                    </w:rPr>
                  </w:pPr>
                  <w:r w:rsidRPr="00446612">
                    <w:rPr>
                      <w:b/>
                      <w:bCs/>
                    </w:rPr>
                    <w:t>76 000 $</w:t>
                  </w:r>
                </w:p>
              </w:tc>
              <w:tc>
                <w:tcPr>
                  <w:tcW w:w="1043"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pPr>
                    <w:rPr>
                      <w:b/>
                      <w:bCs/>
                    </w:rPr>
                  </w:pPr>
                  <w:r w:rsidRPr="00446612">
                    <w:rPr>
                      <w:b/>
                      <w:bCs/>
                    </w:rPr>
                    <w:t>226 827 $</w:t>
                  </w:r>
                </w:p>
              </w:tc>
              <w:tc>
                <w:tcPr>
                  <w:tcW w:w="1033"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pPr>
                    <w:rPr>
                      <w:b/>
                      <w:bCs/>
                    </w:rPr>
                  </w:pPr>
                  <w:r w:rsidRPr="00446612">
                    <w:rPr>
                      <w:b/>
                      <w:bCs/>
                    </w:rPr>
                    <w:t>215 000 $</w:t>
                  </w:r>
                </w:p>
              </w:tc>
            </w:tr>
            <w:tr w:rsidR="00446612" w:rsidRPr="00446612" w:rsidTr="00446612">
              <w:trPr>
                <w:trHeight w:val="268"/>
              </w:trPr>
              <w:tc>
                <w:tcPr>
                  <w:tcW w:w="2700"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tc>
              <w:tc>
                <w:tcPr>
                  <w:tcW w:w="1673"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tc>
              <w:tc>
                <w:tcPr>
                  <w:tcW w:w="1031"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tc>
              <w:tc>
                <w:tcPr>
                  <w:tcW w:w="1043"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tc>
              <w:tc>
                <w:tcPr>
                  <w:tcW w:w="1033"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tc>
            </w:tr>
            <w:tr w:rsidR="00446612" w:rsidRPr="00446612" w:rsidTr="00934E41">
              <w:trPr>
                <w:trHeight w:val="268"/>
              </w:trPr>
              <w:tc>
                <w:tcPr>
                  <w:tcW w:w="27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46612" w:rsidRPr="00446612" w:rsidRDefault="00446612" w:rsidP="00446612">
                  <w:pPr>
                    <w:rPr>
                      <w:b/>
                      <w:bCs/>
                    </w:rPr>
                  </w:pPr>
                  <w:r w:rsidRPr="00446612">
                    <w:rPr>
                      <w:b/>
                      <w:bCs/>
                    </w:rPr>
                    <w:t>Mode de financement</w:t>
                  </w:r>
                </w:p>
              </w:tc>
              <w:tc>
                <w:tcPr>
                  <w:tcW w:w="167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46612" w:rsidRPr="00446612" w:rsidRDefault="00446612" w:rsidP="00446612"/>
              </w:tc>
              <w:tc>
                <w:tcPr>
                  <w:tcW w:w="103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46612" w:rsidRPr="00446612" w:rsidRDefault="00446612" w:rsidP="00446612"/>
              </w:tc>
              <w:tc>
                <w:tcPr>
                  <w:tcW w:w="10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46612" w:rsidRPr="00446612" w:rsidRDefault="00446612" w:rsidP="00446612"/>
              </w:tc>
              <w:tc>
                <w:tcPr>
                  <w:tcW w:w="10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446612" w:rsidRPr="00446612" w:rsidRDefault="00446612" w:rsidP="00446612"/>
              </w:tc>
            </w:tr>
            <w:tr w:rsidR="00446612" w:rsidRPr="00446612" w:rsidTr="00446612">
              <w:trPr>
                <w:trHeight w:val="268"/>
              </w:trPr>
              <w:tc>
                <w:tcPr>
                  <w:tcW w:w="2700"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r w:rsidRPr="00446612">
                    <w:t>1. À même le budget</w:t>
                  </w:r>
                </w:p>
              </w:tc>
              <w:tc>
                <w:tcPr>
                  <w:tcW w:w="1673"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tc>
              <w:tc>
                <w:tcPr>
                  <w:tcW w:w="1031"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r w:rsidRPr="00446612">
                    <w:t>19 000 $</w:t>
                  </w:r>
                </w:p>
              </w:tc>
              <w:tc>
                <w:tcPr>
                  <w:tcW w:w="1043"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r w:rsidRPr="00446612">
                    <w:t>30 500 $</w:t>
                  </w:r>
                </w:p>
              </w:tc>
              <w:tc>
                <w:tcPr>
                  <w:tcW w:w="1033"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r w:rsidRPr="00446612">
                    <w:t>50 000 $</w:t>
                  </w:r>
                </w:p>
              </w:tc>
            </w:tr>
            <w:tr w:rsidR="00446612" w:rsidRPr="00446612" w:rsidTr="00446612">
              <w:trPr>
                <w:trHeight w:val="268"/>
              </w:trPr>
              <w:tc>
                <w:tcPr>
                  <w:tcW w:w="2700"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r w:rsidRPr="00446612">
                    <w:t>2. Subvention</w:t>
                  </w:r>
                </w:p>
              </w:tc>
              <w:tc>
                <w:tcPr>
                  <w:tcW w:w="1673"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tc>
              <w:tc>
                <w:tcPr>
                  <w:tcW w:w="1031"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r w:rsidRPr="00446612">
                    <w:t>32 000 $</w:t>
                  </w:r>
                </w:p>
              </w:tc>
              <w:tc>
                <w:tcPr>
                  <w:tcW w:w="1043"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r w:rsidRPr="00446612">
                    <w:t>181 327 $</w:t>
                  </w:r>
                </w:p>
              </w:tc>
              <w:tc>
                <w:tcPr>
                  <w:tcW w:w="1033"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r w:rsidRPr="00446612">
                    <w:t>150 000 $</w:t>
                  </w:r>
                </w:p>
              </w:tc>
            </w:tr>
            <w:tr w:rsidR="00446612" w:rsidRPr="00446612" w:rsidTr="00446612">
              <w:trPr>
                <w:trHeight w:val="268"/>
              </w:trPr>
              <w:tc>
                <w:tcPr>
                  <w:tcW w:w="2700"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r w:rsidRPr="00446612">
                    <w:t>3. Surplus affecté</w:t>
                  </w:r>
                </w:p>
              </w:tc>
              <w:tc>
                <w:tcPr>
                  <w:tcW w:w="1673"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tc>
              <w:tc>
                <w:tcPr>
                  <w:tcW w:w="1031"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r w:rsidRPr="00446612">
                    <w:t>25 000 $</w:t>
                  </w:r>
                </w:p>
              </w:tc>
              <w:tc>
                <w:tcPr>
                  <w:tcW w:w="1043"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r w:rsidRPr="00446612">
                    <w:t>15 000 $</w:t>
                  </w:r>
                </w:p>
              </w:tc>
              <w:tc>
                <w:tcPr>
                  <w:tcW w:w="1033" w:type="dxa"/>
                  <w:tcBorders>
                    <w:top w:val="single" w:sz="4" w:space="0" w:color="000000"/>
                    <w:left w:val="single" w:sz="4" w:space="0" w:color="000000"/>
                    <w:bottom w:val="single" w:sz="4" w:space="0" w:color="000000"/>
                    <w:right w:val="single" w:sz="4" w:space="0" w:color="000000"/>
                  </w:tcBorders>
                </w:tcPr>
                <w:p w:rsidR="00446612" w:rsidRPr="00446612" w:rsidRDefault="00446612" w:rsidP="00446612">
                  <w:r w:rsidRPr="00446612">
                    <w:t>15 000 $</w:t>
                  </w:r>
                </w:p>
              </w:tc>
            </w:tr>
          </w:tbl>
          <w:p w:rsidR="008030C5" w:rsidRDefault="008030C5" w:rsidP="000C3803"/>
          <w:p w:rsidR="008030C5" w:rsidRPr="000C3803" w:rsidRDefault="008030C5" w:rsidP="000C3803"/>
          <w:p w:rsidR="00D446BD" w:rsidRDefault="00D446BD" w:rsidP="00D446BD"/>
          <w:p w:rsidR="00446612" w:rsidRPr="00D446BD" w:rsidRDefault="00446612" w:rsidP="00D446BD"/>
        </w:tc>
      </w:tr>
      <w:tr w:rsidR="00DA3617" w:rsidRPr="003859AD" w:rsidTr="00F41154">
        <w:tc>
          <w:tcPr>
            <w:tcW w:w="1838" w:type="dxa"/>
          </w:tcPr>
          <w:p w:rsidR="00DA3617" w:rsidRPr="00A41CEE" w:rsidRDefault="005664F8" w:rsidP="0034194F">
            <w:pPr>
              <w:rPr>
                <w:b/>
              </w:rPr>
            </w:pPr>
            <w:r>
              <w:rPr>
                <w:b/>
              </w:rPr>
              <w:lastRenderedPageBreak/>
              <w:t>2018-12-219</w:t>
            </w:r>
          </w:p>
        </w:tc>
        <w:tc>
          <w:tcPr>
            <w:tcW w:w="7806" w:type="dxa"/>
          </w:tcPr>
          <w:p w:rsidR="006B27A6" w:rsidRDefault="00457885" w:rsidP="006B27A6">
            <w:pPr>
              <w:pStyle w:val="Titre1"/>
              <w:outlineLvl w:val="0"/>
            </w:pPr>
            <w:bookmarkStart w:id="5" w:name="_Toc532300950"/>
            <w:r>
              <w:t>ADOPTION DU RÈGLEMENT  2018-12 – RÈGLEMENT ÉTABLISSANT LES TAUX DE TAXATION POUR l’EXERCICE FINANCIER 2019 AINSI QUE LES TAUX D’INTÉRÊT ET DE PÉNALITÉ</w:t>
            </w:r>
            <w:r w:rsidR="006E5E5B">
              <w:t xml:space="preserve"> AVEC DISPENSE DE LECTURE</w:t>
            </w:r>
            <w:bookmarkEnd w:id="5"/>
          </w:p>
          <w:p w:rsidR="00457885" w:rsidRDefault="00457885" w:rsidP="00457885"/>
          <w:p w:rsidR="004A5314" w:rsidRDefault="00947F44" w:rsidP="00457885">
            <w:r>
              <w:t>ATTENDU QUE l</w:t>
            </w:r>
            <w:r w:rsidR="004A5314">
              <w:t>es membres du conseil reconnaissent avoir reçu le règlement 2018-12</w:t>
            </w:r>
            <w:r>
              <w:t>, l’avoir lu et renoncent à sa lecture;</w:t>
            </w:r>
          </w:p>
          <w:p w:rsidR="00947F44" w:rsidRDefault="00947F44" w:rsidP="00457885"/>
          <w:p w:rsidR="00947F44" w:rsidRDefault="00CD775C" w:rsidP="00457885">
            <w:r>
              <w:t xml:space="preserve">ATTENDU </w:t>
            </w:r>
            <w:proofErr w:type="spellStart"/>
            <w:r>
              <w:t>QU’un</w:t>
            </w:r>
            <w:proofErr w:type="spellEnd"/>
            <w:r>
              <w:t xml:space="preserve"> avis de motion a dûment été donné par le conseiller Daniel Filiatrault lors de la séance ordinaire du 22 novembre 2018; </w:t>
            </w:r>
          </w:p>
          <w:p w:rsidR="00CD775C" w:rsidRDefault="00CD775C" w:rsidP="00457885"/>
          <w:p w:rsidR="00CD775C" w:rsidRDefault="00CD775C" w:rsidP="00457885">
            <w:r>
              <w:t>Par conséquent,</w:t>
            </w:r>
          </w:p>
          <w:p w:rsidR="00CD775C" w:rsidRDefault="00CD775C" w:rsidP="00457885"/>
          <w:p w:rsidR="00CD775C" w:rsidRDefault="0006678C" w:rsidP="00457885">
            <w:r w:rsidRPr="0006678C">
              <w:t xml:space="preserve">IL EST DÛMENT PROPOSÉ par </w:t>
            </w:r>
            <w:r w:rsidR="000A4E40">
              <w:t xml:space="preserve">Daniel Filiatrault </w:t>
            </w:r>
            <w:r w:rsidRPr="0006678C">
              <w:t>et unanimement résolu</w:t>
            </w:r>
            <w:r w:rsidR="00500668">
              <w:t> :</w:t>
            </w:r>
          </w:p>
          <w:p w:rsidR="00947F44" w:rsidRDefault="00947F44" w:rsidP="00457885"/>
          <w:p w:rsidR="00030BE5" w:rsidRDefault="00030BE5" w:rsidP="00457885">
            <w:r>
              <w:t>QUE le règlement numéro 2018-12, règlement concernant les taux de taxation, taux d’intérêt et de pénalité soit adopté.</w:t>
            </w:r>
          </w:p>
          <w:p w:rsidR="00947F44" w:rsidRDefault="00947F44" w:rsidP="00457885"/>
          <w:p w:rsidR="00BB2321" w:rsidRPr="00BB2321" w:rsidRDefault="00BB2321" w:rsidP="00BB2321">
            <w:pPr>
              <w:rPr>
                <w:b/>
                <w:szCs w:val="22"/>
              </w:rPr>
            </w:pPr>
            <w:r w:rsidRPr="00BB2321">
              <w:rPr>
                <w:b/>
                <w:szCs w:val="22"/>
              </w:rPr>
              <w:t>PROVINCE DE QUÉBEC</w:t>
            </w:r>
          </w:p>
          <w:p w:rsidR="00BB2321" w:rsidRPr="00BB2321" w:rsidRDefault="00BB2321" w:rsidP="00BB2321">
            <w:pPr>
              <w:rPr>
                <w:b/>
                <w:szCs w:val="22"/>
              </w:rPr>
            </w:pPr>
            <w:r w:rsidRPr="00BB2321">
              <w:rPr>
                <w:b/>
                <w:szCs w:val="22"/>
              </w:rPr>
              <w:t>MRC DES PAYS D’EN-HAUT</w:t>
            </w:r>
          </w:p>
          <w:p w:rsidR="00BB2321" w:rsidRPr="00BB2321" w:rsidRDefault="00BB2321" w:rsidP="00BB2321">
            <w:pPr>
              <w:rPr>
                <w:b/>
                <w:szCs w:val="22"/>
              </w:rPr>
            </w:pPr>
            <w:r w:rsidRPr="00BB2321">
              <w:rPr>
                <w:b/>
                <w:szCs w:val="22"/>
              </w:rPr>
              <w:t>MUNICIPALITÉ DE LAC-DES-SEIZE-ÎLES</w:t>
            </w:r>
          </w:p>
          <w:p w:rsidR="00BB2321" w:rsidRPr="00BB2321" w:rsidRDefault="00BB2321" w:rsidP="00BB2321">
            <w:pPr>
              <w:tabs>
                <w:tab w:val="center" w:pos="4536"/>
              </w:tabs>
              <w:rPr>
                <w:b/>
                <w:szCs w:val="22"/>
              </w:rPr>
            </w:pPr>
          </w:p>
          <w:p w:rsidR="00BB2321" w:rsidRPr="00BB2321" w:rsidRDefault="00BB2321" w:rsidP="00BB2321">
            <w:pPr>
              <w:tabs>
                <w:tab w:val="center" w:pos="4536"/>
              </w:tabs>
              <w:rPr>
                <w:b/>
                <w:szCs w:val="22"/>
              </w:rPr>
            </w:pPr>
          </w:p>
          <w:p w:rsidR="00BB2321" w:rsidRPr="00BB2321" w:rsidRDefault="00BB2321" w:rsidP="00BB2321">
            <w:pPr>
              <w:tabs>
                <w:tab w:val="center" w:pos="4536"/>
              </w:tabs>
              <w:jc w:val="center"/>
              <w:rPr>
                <w:b/>
                <w:szCs w:val="22"/>
              </w:rPr>
            </w:pPr>
            <w:r w:rsidRPr="00BB2321">
              <w:rPr>
                <w:b/>
                <w:szCs w:val="22"/>
              </w:rPr>
              <w:t>RÈGLEMENT NUMÉRO 2018-12</w:t>
            </w:r>
          </w:p>
          <w:p w:rsidR="00BB2321" w:rsidRPr="00BB2321" w:rsidRDefault="00BB2321" w:rsidP="00BB2321">
            <w:pPr>
              <w:jc w:val="center"/>
              <w:rPr>
                <w:b/>
                <w:szCs w:val="22"/>
              </w:rPr>
            </w:pPr>
          </w:p>
          <w:p w:rsidR="00BB2321" w:rsidRPr="00BB2321" w:rsidRDefault="00BB2321" w:rsidP="00BB2321">
            <w:pPr>
              <w:jc w:val="center"/>
              <w:rPr>
                <w:b/>
                <w:szCs w:val="22"/>
              </w:rPr>
            </w:pPr>
            <w:r w:rsidRPr="00BB2321">
              <w:rPr>
                <w:b/>
                <w:szCs w:val="22"/>
              </w:rPr>
              <w:t xml:space="preserve">Règlement établissant les taux de taxation pour l'exercice financier 2019, </w:t>
            </w:r>
          </w:p>
          <w:p w:rsidR="00BB2321" w:rsidRPr="00BB2321" w:rsidRDefault="00BB2321" w:rsidP="00BB2321">
            <w:pPr>
              <w:jc w:val="center"/>
              <w:rPr>
                <w:b/>
                <w:szCs w:val="22"/>
              </w:rPr>
            </w:pPr>
            <w:proofErr w:type="gramStart"/>
            <w:r w:rsidRPr="00BB2321">
              <w:rPr>
                <w:b/>
                <w:szCs w:val="22"/>
              </w:rPr>
              <w:t>ainsi</w:t>
            </w:r>
            <w:proofErr w:type="gramEnd"/>
            <w:r w:rsidRPr="00BB2321">
              <w:rPr>
                <w:b/>
                <w:szCs w:val="22"/>
              </w:rPr>
              <w:t xml:space="preserve"> que le taux d'intérêt et de pénalité.</w:t>
            </w:r>
          </w:p>
          <w:p w:rsidR="00BB2321" w:rsidRPr="00BB2321" w:rsidRDefault="00BB2321" w:rsidP="00BB2321">
            <w:pPr>
              <w:rPr>
                <w:szCs w:val="22"/>
                <w:u w:val="double"/>
              </w:rPr>
            </w:pPr>
            <w:r w:rsidRPr="00BB2321">
              <w:rPr>
                <w:szCs w:val="22"/>
                <w:u w:val="double"/>
              </w:rPr>
              <w:t>_______________________________________________________________</w:t>
            </w:r>
          </w:p>
          <w:p w:rsidR="00BB2321" w:rsidRPr="00BB2321" w:rsidRDefault="00BB2321" w:rsidP="00BB2321">
            <w:pPr>
              <w:rPr>
                <w:szCs w:val="22"/>
              </w:rPr>
            </w:pPr>
          </w:p>
          <w:p w:rsidR="00BB2321" w:rsidRPr="00BB2321" w:rsidRDefault="00BB2321" w:rsidP="00BB2321">
            <w:pPr>
              <w:jc w:val="both"/>
              <w:rPr>
                <w:szCs w:val="22"/>
              </w:rPr>
            </w:pPr>
            <w:r w:rsidRPr="00BB2321">
              <w:rPr>
                <w:szCs w:val="22"/>
              </w:rPr>
              <w:t xml:space="preserve">Attendu qu'il y a lieu, pour la Municipalité de Lac-des-Seize-Îles, de prévoir des recettes afin de pourvoir aux dépenses de l'exercice financier 2019 ; </w:t>
            </w:r>
          </w:p>
          <w:p w:rsidR="00BB2321" w:rsidRPr="00BB2321" w:rsidRDefault="00BB2321" w:rsidP="00BB2321">
            <w:pPr>
              <w:jc w:val="both"/>
              <w:rPr>
                <w:szCs w:val="22"/>
              </w:rPr>
            </w:pPr>
          </w:p>
          <w:p w:rsidR="00BB2321" w:rsidRPr="00BB2321" w:rsidRDefault="00BB2321" w:rsidP="00BB2321">
            <w:pPr>
              <w:jc w:val="both"/>
              <w:rPr>
                <w:szCs w:val="22"/>
              </w:rPr>
            </w:pPr>
            <w:r w:rsidRPr="00BB2321">
              <w:rPr>
                <w:szCs w:val="22"/>
              </w:rPr>
              <w:t xml:space="preserve">Attendu qu'un avis de motion a dûment été donné par monsieur le conseiller, Daniel Filiatrault à la séance ordinaire du conseil, tenue le 22 novembre 2018 ; </w:t>
            </w:r>
          </w:p>
          <w:p w:rsidR="00BB2321" w:rsidRPr="00BB2321" w:rsidRDefault="00BB2321" w:rsidP="00BB2321">
            <w:pPr>
              <w:jc w:val="both"/>
              <w:rPr>
                <w:szCs w:val="22"/>
              </w:rPr>
            </w:pPr>
          </w:p>
          <w:p w:rsidR="00BB2321" w:rsidRPr="00BB2321" w:rsidRDefault="00BB2321" w:rsidP="00BB2321">
            <w:pPr>
              <w:jc w:val="both"/>
              <w:rPr>
                <w:szCs w:val="22"/>
              </w:rPr>
            </w:pPr>
            <w:r w:rsidRPr="00BB2321">
              <w:rPr>
                <w:szCs w:val="22"/>
              </w:rPr>
              <w:t>Par conséquent,</w:t>
            </w:r>
          </w:p>
          <w:p w:rsidR="00BB2321" w:rsidRPr="00BB2321" w:rsidRDefault="00BB2321" w:rsidP="00BB2321">
            <w:pPr>
              <w:jc w:val="both"/>
              <w:rPr>
                <w:szCs w:val="22"/>
              </w:rPr>
            </w:pPr>
          </w:p>
          <w:p w:rsidR="00BB2321" w:rsidRPr="00BB2321" w:rsidRDefault="00BB2321" w:rsidP="00BB2321">
            <w:pPr>
              <w:jc w:val="both"/>
              <w:rPr>
                <w:szCs w:val="22"/>
              </w:rPr>
            </w:pPr>
            <w:r w:rsidRPr="00BB2321">
              <w:rPr>
                <w:szCs w:val="22"/>
              </w:rPr>
              <w:t>Il est proposé par l</w:t>
            </w:r>
            <w:r w:rsidR="000A4E40">
              <w:rPr>
                <w:szCs w:val="22"/>
              </w:rPr>
              <w:t>e</w:t>
            </w:r>
            <w:r w:rsidRPr="00BB2321">
              <w:rPr>
                <w:szCs w:val="22"/>
              </w:rPr>
              <w:t xml:space="preserve"> conseill</w:t>
            </w:r>
            <w:r w:rsidR="000A4E40">
              <w:rPr>
                <w:szCs w:val="22"/>
              </w:rPr>
              <w:t xml:space="preserve">er Daniel Filiatrault </w:t>
            </w:r>
            <w:r w:rsidRPr="00BB2321">
              <w:rPr>
                <w:szCs w:val="22"/>
              </w:rPr>
              <w:t>et résolu unanimement par les membres présents du conseil</w:t>
            </w:r>
          </w:p>
          <w:p w:rsidR="00BB2321" w:rsidRPr="00BB2321" w:rsidRDefault="00BB2321" w:rsidP="00BB2321">
            <w:pPr>
              <w:jc w:val="both"/>
              <w:rPr>
                <w:szCs w:val="22"/>
              </w:rPr>
            </w:pPr>
          </w:p>
          <w:p w:rsidR="00BB2321" w:rsidRPr="00BB2321" w:rsidRDefault="00BB2321" w:rsidP="00BB2321">
            <w:pPr>
              <w:jc w:val="both"/>
              <w:rPr>
                <w:szCs w:val="22"/>
              </w:rPr>
            </w:pPr>
            <w:r w:rsidRPr="00BB2321">
              <w:rPr>
                <w:szCs w:val="22"/>
              </w:rPr>
              <w:t>Qu'il soit statué et ordonné et il est par le présent règlement, statué et ordonné ce qui suit, à savoir:</w:t>
            </w:r>
          </w:p>
          <w:p w:rsidR="00BB2321" w:rsidRPr="00BB2321" w:rsidRDefault="00BB2321" w:rsidP="00BB2321">
            <w:pPr>
              <w:jc w:val="both"/>
              <w:rPr>
                <w:szCs w:val="22"/>
              </w:rPr>
            </w:pPr>
          </w:p>
          <w:p w:rsidR="00BB2321" w:rsidRPr="00BB2321" w:rsidRDefault="00BB2321" w:rsidP="00BB2321">
            <w:pPr>
              <w:jc w:val="both"/>
              <w:rPr>
                <w:szCs w:val="22"/>
              </w:rPr>
            </w:pPr>
          </w:p>
          <w:p w:rsidR="00BB2321" w:rsidRPr="00BB2321" w:rsidRDefault="00BB2321" w:rsidP="00014101">
            <w:pPr>
              <w:keepNext/>
              <w:jc w:val="both"/>
              <w:outlineLvl w:val="0"/>
              <w:rPr>
                <w:b/>
                <w:szCs w:val="22"/>
                <w:u w:val="single"/>
              </w:rPr>
            </w:pPr>
            <w:bookmarkStart w:id="6" w:name="_Toc532291999"/>
            <w:bookmarkStart w:id="7" w:name="_Toc532300951"/>
            <w:r w:rsidRPr="00BB2321">
              <w:rPr>
                <w:b/>
                <w:szCs w:val="22"/>
                <w:u w:val="single"/>
              </w:rPr>
              <w:t xml:space="preserve">Article 1 </w:t>
            </w:r>
            <w:proofErr w:type="gramStart"/>
            <w:r w:rsidRPr="00BB2321">
              <w:rPr>
                <w:b/>
                <w:szCs w:val="22"/>
                <w:u w:val="single"/>
              </w:rPr>
              <w:t>-  Préambule</w:t>
            </w:r>
            <w:bookmarkEnd w:id="6"/>
            <w:bookmarkEnd w:id="7"/>
            <w:proofErr w:type="gramEnd"/>
          </w:p>
          <w:p w:rsidR="00BB2321" w:rsidRPr="00BB2321" w:rsidRDefault="00BB2321" w:rsidP="00BB2321">
            <w:pPr>
              <w:jc w:val="both"/>
              <w:rPr>
                <w:szCs w:val="22"/>
              </w:rPr>
            </w:pPr>
          </w:p>
          <w:p w:rsidR="00BB2321" w:rsidRPr="00BB2321" w:rsidRDefault="00BB2321" w:rsidP="00BB2321">
            <w:pPr>
              <w:jc w:val="both"/>
              <w:rPr>
                <w:szCs w:val="22"/>
              </w:rPr>
            </w:pPr>
            <w:r w:rsidRPr="00BB2321">
              <w:rPr>
                <w:szCs w:val="22"/>
              </w:rPr>
              <w:t xml:space="preserve">Que le préambule fasse partie intégrante du présent règlement. </w:t>
            </w:r>
          </w:p>
          <w:p w:rsidR="00BB2321" w:rsidRPr="00BB2321" w:rsidRDefault="00BB2321" w:rsidP="00BB2321">
            <w:pPr>
              <w:jc w:val="both"/>
              <w:rPr>
                <w:szCs w:val="22"/>
              </w:rPr>
            </w:pPr>
          </w:p>
          <w:p w:rsidR="00BB2321" w:rsidRPr="00BB2321" w:rsidRDefault="00BB2321" w:rsidP="00014101">
            <w:pPr>
              <w:keepNext/>
              <w:jc w:val="both"/>
              <w:outlineLvl w:val="0"/>
              <w:rPr>
                <w:szCs w:val="22"/>
                <w:u w:val="single"/>
              </w:rPr>
            </w:pPr>
          </w:p>
          <w:p w:rsidR="00BB2321" w:rsidRPr="00BB2321" w:rsidRDefault="00BB2321" w:rsidP="00014101">
            <w:pPr>
              <w:keepNext/>
              <w:jc w:val="both"/>
              <w:outlineLvl w:val="0"/>
              <w:rPr>
                <w:b/>
                <w:szCs w:val="22"/>
                <w:u w:val="single"/>
              </w:rPr>
            </w:pPr>
            <w:bookmarkStart w:id="8" w:name="_Toc532292000"/>
            <w:bookmarkStart w:id="9" w:name="_Toc532300952"/>
            <w:r w:rsidRPr="00BB2321">
              <w:rPr>
                <w:b/>
                <w:szCs w:val="22"/>
                <w:u w:val="single"/>
              </w:rPr>
              <w:t>Article 2 – Foncière</w:t>
            </w:r>
            <w:bookmarkEnd w:id="8"/>
            <w:bookmarkEnd w:id="9"/>
          </w:p>
          <w:p w:rsidR="00BB2321" w:rsidRPr="00BB2321" w:rsidRDefault="00BB2321" w:rsidP="00BB2321">
            <w:pPr>
              <w:jc w:val="both"/>
              <w:rPr>
                <w:b/>
                <w:szCs w:val="22"/>
              </w:rPr>
            </w:pPr>
          </w:p>
          <w:p w:rsidR="00BB2321" w:rsidRPr="00BB2321" w:rsidRDefault="00BB2321" w:rsidP="00BB2321">
            <w:pPr>
              <w:jc w:val="both"/>
              <w:rPr>
                <w:szCs w:val="22"/>
              </w:rPr>
            </w:pPr>
            <w:bookmarkStart w:id="10" w:name="OLE_LINK1"/>
            <w:bookmarkStart w:id="11" w:name="OLE_LINK2"/>
            <w:bookmarkStart w:id="12" w:name="OLE_LINK3"/>
            <w:r w:rsidRPr="00BB2321">
              <w:rPr>
                <w:szCs w:val="22"/>
              </w:rPr>
              <w:t xml:space="preserve">Que le taux de la taxe foncière générale pour l'exercice financier 2019 soit établi à </w:t>
            </w:r>
          </w:p>
          <w:p w:rsidR="00BB2321" w:rsidRPr="00BB2321" w:rsidRDefault="00BB2321" w:rsidP="00BB2321">
            <w:pPr>
              <w:jc w:val="both"/>
              <w:rPr>
                <w:szCs w:val="22"/>
              </w:rPr>
            </w:pPr>
            <w:r w:rsidRPr="00BB2321">
              <w:rPr>
                <w:szCs w:val="22"/>
              </w:rPr>
              <w:t xml:space="preserve">0.8975$/100$ d'évaluation, pour tous les immeubles inscrits au rôle d'évaluation foncière en vigueur, pour l'exercice 2019. </w:t>
            </w:r>
          </w:p>
          <w:p w:rsidR="00BB2321" w:rsidRPr="00BB2321" w:rsidRDefault="00BB2321" w:rsidP="00BB2321">
            <w:pPr>
              <w:jc w:val="both"/>
              <w:rPr>
                <w:szCs w:val="22"/>
              </w:rPr>
            </w:pPr>
          </w:p>
          <w:p w:rsidR="00BB2321" w:rsidRPr="00BB2321" w:rsidRDefault="00BB2321" w:rsidP="00BB2321">
            <w:pPr>
              <w:jc w:val="both"/>
              <w:rPr>
                <w:szCs w:val="22"/>
              </w:rPr>
            </w:pPr>
            <w:r w:rsidRPr="00BB2321">
              <w:rPr>
                <w:szCs w:val="22"/>
              </w:rPr>
              <w:t>Les propriétaires des immeubles sont responsables du paiement de cette taxe.</w:t>
            </w:r>
          </w:p>
          <w:p w:rsidR="00BB2321" w:rsidRPr="00BB2321" w:rsidRDefault="00BB2321" w:rsidP="00BB2321">
            <w:pPr>
              <w:jc w:val="both"/>
              <w:rPr>
                <w:szCs w:val="22"/>
              </w:rPr>
            </w:pPr>
          </w:p>
          <w:p w:rsidR="00BB2321" w:rsidRPr="00BB2321" w:rsidRDefault="00BB2321" w:rsidP="00BB2321">
            <w:pPr>
              <w:jc w:val="both"/>
              <w:rPr>
                <w:szCs w:val="22"/>
              </w:rPr>
            </w:pPr>
          </w:p>
          <w:bookmarkEnd w:id="10"/>
          <w:bookmarkEnd w:id="11"/>
          <w:bookmarkEnd w:id="12"/>
          <w:p w:rsidR="00BB2321" w:rsidRPr="00BB2321" w:rsidRDefault="00BB2321" w:rsidP="00BB2321">
            <w:pPr>
              <w:jc w:val="both"/>
              <w:rPr>
                <w:b/>
                <w:szCs w:val="22"/>
                <w:u w:val="single"/>
              </w:rPr>
            </w:pPr>
            <w:r w:rsidRPr="00BB2321">
              <w:rPr>
                <w:b/>
                <w:szCs w:val="22"/>
                <w:u w:val="single"/>
              </w:rPr>
              <w:t>Article 3 - Environnement</w:t>
            </w:r>
          </w:p>
          <w:p w:rsidR="00BB2321" w:rsidRPr="00BB2321" w:rsidRDefault="00BB2321" w:rsidP="00BB2321">
            <w:pPr>
              <w:jc w:val="both"/>
              <w:rPr>
                <w:szCs w:val="22"/>
              </w:rPr>
            </w:pPr>
          </w:p>
          <w:p w:rsidR="00BB2321" w:rsidRPr="00BB2321" w:rsidRDefault="00BB2321" w:rsidP="00BB2321">
            <w:pPr>
              <w:jc w:val="both"/>
              <w:rPr>
                <w:szCs w:val="22"/>
              </w:rPr>
            </w:pPr>
            <w:r w:rsidRPr="00BB2321">
              <w:rPr>
                <w:szCs w:val="22"/>
              </w:rPr>
              <w:t xml:space="preserve">Que le taux de la taxe foncière pour l'environnement, pour l'exercice financier 2019 soit établi à .01500$/100$ d'évaluation, pour tous les immeubles inscrits au rôle d'évaluation foncière en vigueur, pour l'exercice 2019. </w:t>
            </w:r>
          </w:p>
          <w:p w:rsidR="00BB2321" w:rsidRPr="00BB2321" w:rsidRDefault="00BB2321" w:rsidP="00BB2321">
            <w:pPr>
              <w:jc w:val="both"/>
              <w:rPr>
                <w:szCs w:val="22"/>
              </w:rPr>
            </w:pPr>
          </w:p>
          <w:p w:rsidR="00BB2321" w:rsidRPr="00BB2321" w:rsidRDefault="00BB2321" w:rsidP="00BB2321">
            <w:pPr>
              <w:jc w:val="both"/>
              <w:rPr>
                <w:szCs w:val="22"/>
              </w:rPr>
            </w:pPr>
            <w:r w:rsidRPr="00BB2321">
              <w:rPr>
                <w:szCs w:val="22"/>
              </w:rPr>
              <w:t>Les propriétaires des immeubles sont responsables du paiement de cette taxe.</w:t>
            </w:r>
          </w:p>
          <w:p w:rsidR="00BB2321" w:rsidRPr="00BB2321" w:rsidRDefault="00BB2321" w:rsidP="00BB2321">
            <w:pPr>
              <w:jc w:val="both"/>
              <w:rPr>
                <w:szCs w:val="22"/>
              </w:rPr>
            </w:pPr>
          </w:p>
          <w:p w:rsidR="00BB2321" w:rsidRPr="00BB2321" w:rsidRDefault="00BB2321" w:rsidP="00BB2321">
            <w:pPr>
              <w:jc w:val="both"/>
              <w:rPr>
                <w:szCs w:val="22"/>
              </w:rPr>
            </w:pPr>
          </w:p>
          <w:p w:rsidR="00BB2321" w:rsidRPr="00BB2321" w:rsidRDefault="00BB2321" w:rsidP="00014101">
            <w:pPr>
              <w:keepNext/>
              <w:jc w:val="both"/>
              <w:outlineLvl w:val="0"/>
              <w:rPr>
                <w:b/>
                <w:szCs w:val="22"/>
                <w:u w:val="single"/>
              </w:rPr>
            </w:pPr>
            <w:bookmarkStart w:id="13" w:name="_Toc532292001"/>
            <w:bookmarkStart w:id="14" w:name="_Toc532300953"/>
            <w:r w:rsidRPr="00BB2321">
              <w:rPr>
                <w:b/>
                <w:szCs w:val="22"/>
                <w:u w:val="single"/>
              </w:rPr>
              <w:t>Article 4</w:t>
            </w:r>
            <w:r w:rsidRPr="00BB2321">
              <w:rPr>
                <w:szCs w:val="22"/>
                <w:u w:val="single"/>
              </w:rPr>
              <w:t xml:space="preserve">– </w:t>
            </w:r>
            <w:r w:rsidRPr="00BB2321">
              <w:rPr>
                <w:b/>
                <w:szCs w:val="22"/>
                <w:u w:val="single"/>
              </w:rPr>
              <w:t>Matières résiduelles (ordures, récupération, putrescibles et éco centre)</w:t>
            </w:r>
            <w:bookmarkEnd w:id="13"/>
            <w:bookmarkEnd w:id="14"/>
            <w:r w:rsidRPr="00BB2321">
              <w:rPr>
                <w:b/>
                <w:szCs w:val="22"/>
                <w:u w:val="single"/>
              </w:rPr>
              <w:t xml:space="preserve"> </w:t>
            </w:r>
          </w:p>
          <w:p w:rsidR="00BB2321" w:rsidRPr="00BB2321" w:rsidRDefault="00BB2321" w:rsidP="00BB2321">
            <w:pPr>
              <w:jc w:val="both"/>
              <w:rPr>
                <w:szCs w:val="22"/>
              </w:rPr>
            </w:pPr>
          </w:p>
          <w:p w:rsidR="00BB2321" w:rsidRPr="00BB2321" w:rsidRDefault="00BB2321" w:rsidP="00BB2321">
            <w:pPr>
              <w:jc w:val="both"/>
              <w:rPr>
                <w:szCs w:val="22"/>
              </w:rPr>
            </w:pPr>
            <w:r w:rsidRPr="00BB2321">
              <w:rPr>
                <w:szCs w:val="22"/>
              </w:rPr>
              <w:t xml:space="preserve">Que le taux de la taxe pour la cueillette, le transport et l'élimination des matières résiduelles (ordures, récupération, putrescibles et éco centre), pour l'exercice financier 2019, soit établi à 180$ pour chaque unité de logement ou de local inscrit au rôle d'évaluation, pour l'exercice 2019. </w:t>
            </w:r>
          </w:p>
          <w:p w:rsidR="00BB2321" w:rsidRPr="00BB2321" w:rsidRDefault="00BB2321" w:rsidP="00BB2321">
            <w:pPr>
              <w:jc w:val="both"/>
              <w:rPr>
                <w:szCs w:val="22"/>
              </w:rPr>
            </w:pPr>
          </w:p>
          <w:p w:rsidR="00BB2321" w:rsidRPr="00BB2321" w:rsidRDefault="00BB2321" w:rsidP="00BB2321">
            <w:pPr>
              <w:jc w:val="both"/>
              <w:rPr>
                <w:szCs w:val="22"/>
              </w:rPr>
            </w:pPr>
            <w:r w:rsidRPr="00BB2321">
              <w:rPr>
                <w:szCs w:val="22"/>
              </w:rPr>
              <w:t>Qu'une taxe supplémentaire des matières résiduelles pour l'exercice financier 2019 au montant de 100 $ soit facturée pour chaque bac supplémentaire, de chaque unité de logement ou de local inscrit au rôle d'évaluation, pour l'exercice 2019.</w:t>
            </w:r>
          </w:p>
          <w:p w:rsidR="00BB2321" w:rsidRPr="00BB2321" w:rsidRDefault="00BB2321" w:rsidP="00BB2321">
            <w:pPr>
              <w:jc w:val="both"/>
              <w:rPr>
                <w:szCs w:val="22"/>
              </w:rPr>
            </w:pPr>
          </w:p>
          <w:p w:rsidR="00BB2321" w:rsidRPr="00BB2321" w:rsidRDefault="00BB2321" w:rsidP="00BB2321">
            <w:pPr>
              <w:jc w:val="both"/>
              <w:rPr>
                <w:szCs w:val="22"/>
              </w:rPr>
            </w:pPr>
            <w:r w:rsidRPr="00BB2321">
              <w:rPr>
                <w:szCs w:val="22"/>
              </w:rPr>
              <w:t>Les propriétaires des immeubles sont responsables du paiement de cette taxe.</w:t>
            </w:r>
          </w:p>
          <w:p w:rsidR="00BB2321" w:rsidRPr="00BB2321" w:rsidRDefault="00BB2321" w:rsidP="00BB2321">
            <w:pPr>
              <w:jc w:val="both"/>
              <w:rPr>
                <w:szCs w:val="22"/>
              </w:rPr>
            </w:pPr>
          </w:p>
          <w:p w:rsidR="00BB2321" w:rsidRPr="00BB2321" w:rsidRDefault="00BB2321" w:rsidP="00BB2321">
            <w:pPr>
              <w:jc w:val="both"/>
              <w:rPr>
                <w:szCs w:val="22"/>
              </w:rPr>
            </w:pPr>
          </w:p>
          <w:p w:rsidR="00BB2321" w:rsidRPr="00BB2321" w:rsidRDefault="00BB2321" w:rsidP="00014101">
            <w:pPr>
              <w:keepNext/>
              <w:jc w:val="both"/>
              <w:outlineLvl w:val="0"/>
              <w:rPr>
                <w:b/>
                <w:szCs w:val="22"/>
                <w:u w:val="single"/>
              </w:rPr>
            </w:pPr>
            <w:bookmarkStart w:id="15" w:name="_Toc532292002"/>
            <w:bookmarkStart w:id="16" w:name="_Toc532300954"/>
            <w:r w:rsidRPr="00BB2321">
              <w:rPr>
                <w:b/>
                <w:szCs w:val="22"/>
                <w:u w:val="single"/>
              </w:rPr>
              <w:t>Article 5 - Déneigement</w:t>
            </w:r>
            <w:bookmarkEnd w:id="15"/>
            <w:bookmarkEnd w:id="16"/>
            <w:r w:rsidRPr="00BB2321">
              <w:rPr>
                <w:b/>
                <w:szCs w:val="22"/>
                <w:u w:val="single"/>
              </w:rPr>
              <w:t xml:space="preserve"> </w:t>
            </w:r>
          </w:p>
          <w:p w:rsidR="00BB2321" w:rsidRPr="00BB2321" w:rsidRDefault="00BB2321" w:rsidP="00BB2321">
            <w:pPr>
              <w:jc w:val="both"/>
              <w:rPr>
                <w:szCs w:val="22"/>
              </w:rPr>
            </w:pPr>
          </w:p>
          <w:p w:rsidR="00BB2321" w:rsidRPr="00BB2321" w:rsidRDefault="00BB2321" w:rsidP="00BB2321">
            <w:pPr>
              <w:jc w:val="both"/>
              <w:rPr>
                <w:szCs w:val="22"/>
              </w:rPr>
            </w:pPr>
            <w:r w:rsidRPr="00BB2321">
              <w:rPr>
                <w:szCs w:val="22"/>
              </w:rPr>
              <w:t>Qu'une taxe spéciale de déneigement des chemins privés pour l'exercice financier 2019, au montant de 151.17$ soit facturée pour chaque unité de logement ou de local sur des chemins privés (non municipalisés) desservis par le service de déneigement, inscrit au rôle d'évaluation, pour l'exercice 2019.</w:t>
            </w:r>
          </w:p>
          <w:p w:rsidR="00BB2321" w:rsidRPr="00BB2321" w:rsidRDefault="00BB2321" w:rsidP="00BB2321">
            <w:pPr>
              <w:jc w:val="both"/>
              <w:rPr>
                <w:szCs w:val="22"/>
              </w:rPr>
            </w:pPr>
          </w:p>
          <w:p w:rsidR="00BB2321" w:rsidRPr="00BB2321" w:rsidRDefault="00BB2321" w:rsidP="00BB2321">
            <w:pPr>
              <w:jc w:val="both"/>
              <w:rPr>
                <w:szCs w:val="22"/>
              </w:rPr>
            </w:pPr>
            <w:r w:rsidRPr="00BB2321">
              <w:rPr>
                <w:szCs w:val="22"/>
              </w:rPr>
              <w:t>Les propriétaires des immeubles sont responsables du paiement de cette taxe</w:t>
            </w:r>
          </w:p>
          <w:p w:rsidR="00BB2321" w:rsidRPr="00BB2321" w:rsidRDefault="00BB2321" w:rsidP="00BB2321">
            <w:pPr>
              <w:jc w:val="both"/>
              <w:rPr>
                <w:szCs w:val="22"/>
              </w:rPr>
            </w:pPr>
          </w:p>
          <w:p w:rsidR="00BB2321" w:rsidRPr="00BB2321" w:rsidRDefault="00BB2321" w:rsidP="00014101">
            <w:pPr>
              <w:keepNext/>
              <w:jc w:val="both"/>
              <w:outlineLvl w:val="0"/>
              <w:rPr>
                <w:b/>
                <w:szCs w:val="22"/>
                <w:u w:val="single"/>
              </w:rPr>
            </w:pPr>
            <w:bookmarkStart w:id="17" w:name="_Toc532292003"/>
            <w:bookmarkStart w:id="18" w:name="_Toc532300955"/>
            <w:r w:rsidRPr="00BB2321">
              <w:rPr>
                <w:b/>
                <w:szCs w:val="22"/>
                <w:u w:val="single"/>
              </w:rPr>
              <w:t>Article 6 - Répartition</w:t>
            </w:r>
            <w:bookmarkEnd w:id="17"/>
            <w:bookmarkEnd w:id="18"/>
          </w:p>
          <w:p w:rsidR="00BB2321" w:rsidRPr="00BB2321" w:rsidRDefault="00BB2321" w:rsidP="00BB2321">
            <w:pPr>
              <w:jc w:val="both"/>
              <w:rPr>
                <w:b/>
                <w:szCs w:val="22"/>
              </w:rPr>
            </w:pPr>
          </w:p>
          <w:p w:rsidR="00BB2321" w:rsidRPr="00BB2321" w:rsidRDefault="00BB2321" w:rsidP="00BB2321">
            <w:pPr>
              <w:jc w:val="both"/>
              <w:rPr>
                <w:szCs w:val="22"/>
              </w:rPr>
            </w:pPr>
            <w:r w:rsidRPr="00BB2321">
              <w:rPr>
                <w:szCs w:val="22"/>
              </w:rPr>
              <w:t xml:space="preserve">Lorsque la taxe foncière générale annuelle est supérieure à 300,00$, le total du compte de taxes est réparti en six versements, dont le premier est dû trente jours après l'envoi du compte de taxes et le deuxième versement est dû 60 jours après le premier versement, le troisième versement est dû 45 jours après le deuxième versement, le quatrième versement est dû 45 jours après le troisième versement, le cinquième est dû 45 jours après le quatrième et le sixième est dû 45 jours après le cinquième. </w:t>
            </w:r>
          </w:p>
          <w:p w:rsidR="00BB2321" w:rsidRDefault="00BB2321" w:rsidP="00014101">
            <w:pPr>
              <w:keepNext/>
              <w:jc w:val="both"/>
              <w:outlineLvl w:val="0"/>
              <w:rPr>
                <w:b/>
                <w:szCs w:val="22"/>
                <w:u w:val="single"/>
              </w:rPr>
            </w:pPr>
          </w:p>
          <w:p w:rsidR="00014101" w:rsidRPr="00BB2321" w:rsidRDefault="00014101" w:rsidP="00014101">
            <w:pPr>
              <w:keepNext/>
              <w:jc w:val="both"/>
              <w:outlineLvl w:val="0"/>
              <w:rPr>
                <w:b/>
                <w:szCs w:val="22"/>
                <w:u w:val="single"/>
              </w:rPr>
            </w:pPr>
          </w:p>
          <w:p w:rsidR="00BB2321" w:rsidRPr="00BB2321" w:rsidRDefault="00BB2321" w:rsidP="00014101">
            <w:pPr>
              <w:keepNext/>
              <w:jc w:val="both"/>
              <w:outlineLvl w:val="0"/>
              <w:rPr>
                <w:b/>
                <w:szCs w:val="22"/>
                <w:u w:val="single"/>
              </w:rPr>
            </w:pPr>
            <w:bookmarkStart w:id="19" w:name="_Toc532292004"/>
            <w:bookmarkStart w:id="20" w:name="_Toc532300956"/>
            <w:r w:rsidRPr="00BB2321">
              <w:rPr>
                <w:b/>
                <w:szCs w:val="22"/>
                <w:u w:val="single"/>
              </w:rPr>
              <w:t>Article 7– Droit du deuxième versement et suivants</w:t>
            </w:r>
            <w:bookmarkEnd w:id="19"/>
            <w:bookmarkEnd w:id="20"/>
          </w:p>
          <w:p w:rsidR="00BB2321" w:rsidRPr="00BB2321" w:rsidRDefault="00BB2321" w:rsidP="00BB2321">
            <w:pPr>
              <w:jc w:val="both"/>
              <w:rPr>
                <w:szCs w:val="22"/>
              </w:rPr>
            </w:pPr>
          </w:p>
          <w:p w:rsidR="00BB2321" w:rsidRDefault="00BB2321" w:rsidP="00014101">
            <w:pPr>
              <w:jc w:val="both"/>
              <w:rPr>
                <w:szCs w:val="22"/>
              </w:rPr>
            </w:pPr>
            <w:r w:rsidRPr="00BB2321">
              <w:rPr>
                <w:szCs w:val="22"/>
              </w:rPr>
              <w:t xml:space="preserve">Même lorsque qu’un versement des taxes n'est pas fait avant ou à la date d'échéance, les autres versements ne seront pas dus immédiatement, à la date d'échéance des versements échus de l'exercice en cours et les intérêts ne se calculent que sur les sommes dues à la date du versement, c'est-à-dire que les citoyens ne perdent en aucun cas leur droit aux deuxième, troisième, quatrième, </w:t>
            </w:r>
            <w:proofErr w:type="gramStart"/>
            <w:r w:rsidRPr="00BB2321">
              <w:rPr>
                <w:szCs w:val="22"/>
              </w:rPr>
              <w:t>cinquième et sixième versements</w:t>
            </w:r>
            <w:proofErr w:type="gramEnd"/>
            <w:r w:rsidRPr="00BB2321">
              <w:rPr>
                <w:szCs w:val="22"/>
              </w:rPr>
              <w:t>, advenant que l’un ou l'autre des versements ne soient pas faits à échéance.</w:t>
            </w:r>
          </w:p>
          <w:p w:rsidR="00030B35" w:rsidRDefault="00030B35" w:rsidP="00014101">
            <w:pPr>
              <w:jc w:val="both"/>
              <w:rPr>
                <w:szCs w:val="22"/>
              </w:rPr>
            </w:pPr>
          </w:p>
          <w:p w:rsidR="00030B35" w:rsidRPr="00BB2321" w:rsidRDefault="00030B35" w:rsidP="00014101">
            <w:pPr>
              <w:jc w:val="both"/>
              <w:rPr>
                <w:szCs w:val="22"/>
              </w:rPr>
            </w:pPr>
          </w:p>
          <w:p w:rsidR="00BB2321" w:rsidRPr="00BB2321" w:rsidRDefault="00BB2321" w:rsidP="00014101">
            <w:pPr>
              <w:keepNext/>
              <w:jc w:val="both"/>
              <w:outlineLvl w:val="0"/>
              <w:rPr>
                <w:b/>
                <w:szCs w:val="22"/>
                <w:u w:val="single"/>
              </w:rPr>
            </w:pPr>
            <w:bookmarkStart w:id="21" w:name="_Toc532292005"/>
            <w:bookmarkStart w:id="22" w:name="_Toc532300957"/>
            <w:r w:rsidRPr="00BB2321">
              <w:rPr>
                <w:b/>
                <w:szCs w:val="22"/>
                <w:u w:val="single"/>
              </w:rPr>
              <w:t xml:space="preserve">Article </w:t>
            </w:r>
            <w:proofErr w:type="gramStart"/>
            <w:r w:rsidRPr="00BB2321">
              <w:rPr>
                <w:b/>
                <w:szCs w:val="22"/>
                <w:u w:val="single"/>
              </w:rPr>
              <w:t>8  –</w:t>
            </w:r>
            <w:proofErr w:type="gramEnd"/>
            <w:r w:rsidRPr="00BB2321">
              <w:rPr>
                <w:b/>
                <w:szCs w:val="22"/>
                <w:u w:val="single"/>
              </w:rPr>
              <w:t xml:space="preserve"> Taux d'intérêt</w:t>
            </w:r>
            <w:bookmarkEnd w:id="21"/>
            <w:bookmarkEnd w:id="22"/>
          </w:p>
          <w:p w:rsidR="00BB2321" w:rsidRPr="00BB2321" w:rsidRDefault="00BB2321" w:rsidP="00BB2321">
            <w:pPr>
              <w:jc w:val="both"/>
              <w:rPr>
                <w:b/>
                <w:szCs w:val="22"/>
              </w:rPr>
            </w:pPr>
          </w:p>
          <w:p w:rsidR="00BB2321" w:rsidRPr="00BB2321" w:rsidRDefault="00BB2321" w:rsidP="00BB2321">
            <w:pPr>
              <w:jc w:val="both"/>
              <w:rPr>
                <w:szCs w:val="22"/>
              </w:rPr>
            </w:pPr>
            <w:r w:rsidRPr="00BB2321">
              <w:rPr>
                <w:szCs w:val="22"/>
              </w:rPr>
              <w:t xml:space="preserve">Le taux d'intérêt pour tout compte de taxes ou autre compte échu est de 20% l'an pour l'exercice financier 2019. </w:t>
            </w:r>
          </w:p>
          <w:p w:rsidR="00BB2321" w:rsidRDefault="00BB2321" w:rsidP="00014101">
            <w:pPr>
              <w:keepNext/>
              <w:jc w:val="both"/>
              <w:outlineLvl w:val="0"/>
              <w:rPr>
                <w:szCs w:val="22"/>
                <w:u w:val="single"/>
              </w:rPr>
            </w:pPr>
          </w:p>
          <w:p w:rsidR="00014101" w:rsidRPr="00BB2321" w:rsidRDefault="00014101" w:rsidP="00014101">
            <w:pPr>
              <w:keepNext/>
              <w:jc w:val="both"/>
              <w:outlineLvl w:val="0"/>
              <w:rPr>
                <w:szCs w:val="22"/>
                <w:u w:val="single"/>
              </w:rPr>
            </w:pPr>
          </w:p>
          <w:p w:rsidR="00BB2321" w:rsidRPr="00BB2321" w:rsidRDefault="00BB2321" w:rsidP="00014101">
            <w:pPr>
              <w:keepNext/>
              <w:jc w:val="both"/>
              <w:outlineLvl w:val="0"/>
              <w:rPr>
                <w:b/>
                <w:szCs w:val="22"/>
                <w:u w:val="single"/>
              </w:rPr>
            </w:pPr>
            <w:bookmarkStart w:id="23" w:name="_Toc532292006"/>
            <w:bookmarkStart w:id="24" w:name="_Toc532300958"/>
            <w:r w:rsidRPr="00BB2321">
              <w:rPr>
                <w:b/>
                <w:szCs w:val="22"/>
                <w:u w:val="single"/>
              </w:rPr>
              <w:t>Article 9 – Taux de pénalité</w:t>
            </w:r>
            <w:bookmarkEnd w:id="23"/>
            <w:bookmarkEnd w:id="24"/>
          </w:p>
          <w:p w:rsidR="00BB2321" w:rsidRPr="00BB2321" w:rsidRDefault="00BB2321" w:rsidP="00BB2321">
            <w:pPr>
              <w:jc w:val="both"/>
              <w:rPr>
                <w:b/>
                <w:szCs w:val="22"/>
              </w:rPr>
            </w:pPr>
          </w:p>
          <w:p w:rsidR="00BB2321" w:rsidRPr="00BB2321" w:rsidRDefault="00BB2321" w:rsidP="00BB2321">
            <w:pPr>
              <w:jc w:val="both"/>
              <w:rPr>
                <w:szCs w:val="22"/>
              </w:rPr>
            </w:pPr>
            <w:r w:rsidRPr="00BB2321">
              <w:rPr>
                <w:szCs w:val="22"/>
              </w:rPr>
              <w:t xml:space="preserve">Le taux de pénalité pour tout compte de taxes et autre compte échu est de 5% l'an pour l'exercice financier 2019. </w:t>
            </w:r>
          </w:p>
          <w:p w:rsidR="00BB2321" w:rsidRDefault="00BB2321" w:rsidP="00014101">
            <w:pPr>
              <w:keepNext/>
              <w:jc w:val="both"/>
              <w:outlineLvl w:val="0"/>
              <w:rPr>
                <w:szCs w:val="22"/>
                <w:u w:val="single"/>
              </w:rPr>
            </w:pPr>
          </w:p>
          <w:p w:rsidR="00014101" w:rsidRPr="00BB2321" w:rsidRDefault="00014101" w:rsidP="00014101">
            <w:pPr>
              <w:keepNext/>
              <w:jc w:val="both"/>
              <w:outlineLvl w:val="0"/>
              <w:rPr>
                <w:szCs w:val="22"/>
                <w:u w:val="single"/>
              </w:rPr>
            </w:pPr>
          </w:p>
          <w:p w:rsidR="00BB2321" w:rsidRPr="00BB2321" w:rsidRDefault="00BB2321" w:rsidP="00014101">
            <w:pPr>
              <w:keepNext/>
              <w:jc w:val="both"/>
              <w:outlineLvl w:val="0"/>
              <w:rPr>
                <w:b/>
                <w:szCs w:val="22"/>
                <w:u w:val="single"/>
              </w:rPr>
            </w:pPr>
            <w:bookmarkStart w:id="25" w:name="_Toc532292007"/>
            <w:bookmarkStart w:id="26" w:name="_Toc532300959"/>
            <w:r w:rsidRPr="00BB2321">
              <w:rPr>
                <w:b/>
                <w:szCs w:val="22"/>
                <w:u w:val="single"/>
              </w:rPr>
              <w:t>Article 10 – Entrée en vigueur</w:t>
            </w:r>
            <w:bookmarkEnd w:id="25"/>
            <w:bookmarkEnd w:id="26"/>
          </w:p>
          <w:p w:rsidR="00BB2321" w:rsidRPr="00BB2321" w:rsidRDefault="00BB2321" w:rsidP="00BB2321">
            <w:pPr>
              <w:jc w:val="both"/>
              <w:rPr>
                <w:szCs w:val="22"/>
              </w:rPr>
            </w:pPr>
          </w:p>
          <w:p w:rsidR="00BB2321" w:rsidRPr="00BB2321" w:rsidRDefault="00BB2321" w:rsidP="00BB2321">
            <w:pPr>
              <w:jc w:val="both"/>
              <w:rPr>
                <w:szCs w:val="22"/>
              </w:rPr>
            </w:pPr>
            <w:r w:rsidRPr="00BB2321">
              <w:rPr>
                <w:szCs w:val="22"/>
              </w:rPr>
              <w:t>Le présent règlement entre en vigueur conformément à la Loi.</w:t>
            </w:r>
          </w:p>
          <w:p w:rsidR="00BB2321" w:rsidRPr="00BB2321" w:rsidRDefault="00BB2321" w:rsidP="00BB2321">
            <w:pPr>
              <w:jc w:val="both"/>
              <w:rPr>
                <w:szCs w:val="22"/>
              </w:rPr>
            </w:pPr>
          </w:p>
          <w:p w:rsidR="00BB2321" w:rsidRDefault="009B12E4" w:rsidP="00BB2321">
            <w:pPr>
              <w:jc w:val="both"/>
              <w:rPr>
                <w:szCs w:val="22"/>
              </w:rPr>
            </w:pPr>
            <w:r>
              <w:rPr>
                <w:szCs w:val="22"/>
              </w:rPr>
              <w:t>Adopté à la séance extraordinaire du 13</w:t>
            </w:r>
            <w:r w:rsidRPr="009B12E4">
              <w:rPr>
                <w:szCs w:val="22"/>
                <w:vertAlign w:val="superscript"/>
              </w:rPr>
              <w:t>e</w:t>
            </w:r>
            <w:r>
              <w:rPr>
                <w:szCs w:val="22"/>
              </w:rPr>
              <w:t xml:space="preserve"> jour du mois de décembre de l’an deux mille dix-huit.</w:t>
            </w:r>
          </w:p>
          <w:p w:rsidR="009B12E4" w:rsidRDefault="009B12E4" w:rsidP="00BB2321">
            <w:pPr>
              <w:jc w:val="both"/>
              <w:rPr>
                <w:szCs w:val="22"/>
              </w:rPr>
            </w:pPr>
          </w:p>
          <w:p w:rsidR="00DF6BD3" w:rsidRDefault="00DF6BD3" w:rsidP="00DF6BD3">
            <w:pPr>
              <w:jc w:val="both"/>
              <w:rPr>
                <w:szCs w:val="22"/>
              </w:rPr>
            </w:pPr>
          </w:p>
          <w:p w:rsidR="00F26B16" w:rsidRDefault="00F26B16" w:rsidP="00DF6BD3">
            <w:pPr>
              <w:jc w:val="both"/>
              <w:rPr>
                <w:szCs w:val="22"/>
              </w:rPr>
            </w:pPr>
          </w:p>
          <w:p w:rsidR="00F26B16" w:rsidRDefault="00F26B16" w:rsidP="00DF6BD3">
            <w:pPr>
              <w:jc w:val="both"/>
              <w:rPr>
                <w:szCs w:val="22"/>
              </w:rPr>
            </w:pPr>
          </w:p>
          <w:p w:rsidR="00F26B16" w:rsidRDefault="00F26B16" w:rsidP="00DF6BD3">
            <w:pPr>
              <w:jc w:val="both"/>
              <w:rPr>
                <w:szCs w:val="22"/>
              </w:rPr>
            </w:pPr>
          </w:p>
          <w:p w:rsidR="00F26B16" w:rsidRDefault="00F26B16" w:rsidP="00DF6BD3">
            <w:pPr>
              <w:jc w:val="both"/>
              <w:rPr>
                <w:szCs w:val="22"/>
              </w:rPr>
            </w:pPr>
          </w:p>
          <w:p w:rsidR="00F26B16" w:rsidRPr="00DF6BD3" w:rsidRDefault="00F26B16" w:rsidP="00DF6BD3">
            <w:pPr>
              <w:jc w:val="both"/>
              <w:rPr>
                <w:szCs w:val="22"/>
              </w:rPr>
            </w:pPr>
          </w:p>
          <w:p w:rsidR="00DF6BD3" w:rsidRPr="00DF6BD3" w:rsidRDefault="00DF6BD3" w:rsidP="00DF6BD3">
            <w:pPr>
              <w:jc w:val="both"/>
              <w:rPr>
                <w:szCs w:val="22"/>
              </w:rPr>
            </w:pPr>
          </w:p>
          <w:p w:rsidR="00DF6BD3" w:rsidRPr="00DF6BD3" w:rsidRDefault="00DF6BD3" w:rsidP="00DF6BD3">
            <w:pPr>
              <w:jc w:val="both"/>
              <w:rPr>
                <w:szCs w:val="22"/>
              </w:rPr>
            </w:pPr>
            <w:r w:rsidRPr="00DF6BD3">
              <w:rPr>
                <w:szCs w:val="22"/>
              </w:rPr>
              <w:t>_________________________________________</w:t>
            </w:r>
          </w:p>
          <w:p w:rsidR="00DF6BD3" w:rsidRPr="00DF6BD3" w:rsidRDefault="00DF6BD3" w:rsidP="00DF6BD3">
            <w:pPr>
              <w:jc w:val="both"/>
              <w:rPr>
                <w:szCs w:val="22"/>
              </w:rPr>
            </w:pPr>
            <w:r w:rsidRPr="00DF6BD3">
              <w:rPr>
                <w:szCs w:val="22"/>
              </w:rPr>
              <w:t>Alison Drylie</w:t>
            </w:r>
          </w:p>
          <w:p w:rsidR="00DF6BD3" w:rsidRPr="00DF6BD3" w:rsidRDefault="00DF6BD3" w:rsidP="00DF6BD3">
            <w:pPr>
              <w:jc w:val="both"/>
              <w:rPr>
                <w:szCs w:val="22"/>
              </w:rPr>
            </w:pPr>
            <w:r w:rsidRPr="00DF6BD3">
              <w:rPr>
                <w:szCs w:val="22"/>
              </w:rPr>
              <w:t xml:space="preserve">Directrice générale, secrétaire-trésorière </w:t>
            </w:r>
          </w:p>
          <w:p w:rsidR="00DF6BD3" w:rsidRPr="00DF6BD3" w:rsidRDefault="00DF6BD3" w:rsidP="00DF6BD3">
            <w:pPr>
              <w:jc w:val="both"/>
              <w:rPr>
                <w:szCs w:val="22"/>
              </w:rPr>
            </w:pPr>
          </w:p>
          <w:p w:rsidR="00DF6BD3" w:rsidRPr="00DF6BD3" w:rsidRDefault="00DF6BD3" w:rsidP="00DF6BD3">
            <w:pPr>
              <w:jc w:val="both"/>
              <w:rPr>
                <w:szCs w:val="22"/>
              </w:rPr>
            </w:pPr>
          </w:p>
          <w:p w:rsidR="00DF6BD3" w:rsidRPr="00DF6BD3" w:rsidRDefault="00DF6BD3" w:rsidP="00DF6BD3">
            <w:pPr>
              <w:jc w:val="both"/>
              <w:rPr>
                <w:szCs w:val="22"/>
              </w:rPr>
            </w:pPr>
          </w:p>
          <w:p w:rsidR="00DF6BD3" w:rsidRPr="00DF6BD3" w:rsidRDefault="00DF6BD3" w:rsidP="00DF6BD3">
            <w:pPr>
              <w:jc w:val="both"/>
              <w:rPr>
                <w:szCs w:val="22"/>
              </w:rPr>
            </w:pPr>
          </w:p>
          <w:p w:rsidR="00DF6BD3" w:rsidRPr="00DF6BD3" w:rsidRDefault="00DF6BD3" w:rsidP="00DF6BD3">
            <w:pPr>
              <w:jc w:val="both"/>
              <w:rPr>
                <w:szCs w:val="22"/>
              </w:rPr>
            </w:pPr>
            <w:r w:rsidRPr="00DF6BD3">
              <w:rPr>
                <w:szCs w:val="22"/>
              </w:rPr>
              <w:t>__________________________________________</w:t>
            </w:r>
          </w:p>
          <w:p w:rsidR="00DF6BD3" w:rsidRPr="00DF6BD3" w:rsidRDefault="00DF6BD3" w:rsidP="00DF6BD3">
            <w:pPr>
              <w:jc w:val="both"/>
              <w:rPr>
                <w:szCs w:val="22"/>
              </w:rPr>
            </w:pPr>
            <w:r w:rsidRPr="00DF6BD3">
              <w:rPr>
                <w:szCs w:val="22"/>
              </w:rPr>
              <w:t>René Pelletier</w:t>
            </w:r>
          </w:p>
          <w:p w:rsidR="00DF6BD3" w:rsidRPr="00DF6BD3" w:rsidRDefault="00DF6BD3" w:rsidP="00DF6BD3">
            <w:pPr>
              <w:jc w:val="both"/>
              <w:rPr>
                <w:szCs w:val="22"/>
              </w:rPr>
            </w:pPr>
            <w:r w:rsidRPr="00DF6BD3">
              <w:rPr>
                <w:szCs w:val="22"/>
              </w:rPr>
              <w:t xml:space="preserve">Maire </w:t>
            </w:r>
          </w:p>
          <w:p w:rsidR="00DF6BD3" w:rsidRPr="00DF6BD3" w:rsidRDefault="00DF6BD3" w:rsidP="00DF6BD3">
            <w:pPr>
              <w:jc w:val="both"/>
              <w:rPr>
                <w:szCs w:val="22"/>
              </w:rPr>
            </w:pPr>
          </w:p>
          <w:p w:rsidR="00DF6BD3" w:rsidRPr="00DF6BD3" w:rsidRDefault="00DF6BD3" w:rsidP="00DF6BD3">
            <w:pPr>
              <w:jc w:val="both"/>
              <w:rPr>
                <w:szCs w:val="22"/>
              </w:rPr>
            </w:pPr>
            <w:r w:rsidRPr="00DF6BD3">
              <w:rPr>
                <w:szCs w:val="22"/>
              </w:rPr>
              <w:t xml:space="preserve">Avis de motion: </w:t>
            </w:r>
            <w:r w:rsidRPr="00DF6BD3">
              <w:rPr>
                <w:szCs w:val="22"/>
              </w:rPr>
              <w:tab/>
            </w:r>
            <w:r w:rsidRPr="00DF6BD3">
              <w:rPr>
                <w:szCs w:val="22"/>
              </w:rPr>
              <w:tab/>
              <w:t>15 novembre 2018</w:t>
            </w:r>
          </w:p>
          <w:p w:rsidR="00DF6BD3" w:rsidRPr="00DF6BD3" w:rsidRDefault="00DF6BD3" w:rsidP="00DF6BD3">
            <w:pPr>
              <w:jc w:val="both"/>
              <w:rPr>
                <w:szCs w:val="22"/>
              </w:rPr>
            </w:pPr>
            <w:r w:rsidRPr="00DF6BD3">
              <w:rPr>
                <w:szCs w:val="22"/>
              </w:rPr>
              <w:t>Adoption du règlement :</w:t>
            </w:r>
            <w:r w:rsidRPr="00DF6BD3">
              <w:rPr>
                <w:szCs w:val="22"/>
              </w:rPr>
              <w:tab/>
              <w:t xml:space="preserve">13 décembre 2018 </w:t>
            </w:r>
          </w:p>
          <w:p w:rsidR="00DF6BD3" w:rsidRPr="00DF6BD3" w:rsidRDefault="00DF6BD3" w:rsidP="00DF6BD3">
            <w:pPr>
              <w:jc w:val="both"/>
              <w:rPr>
                <w:szCs w:val="22"/>
              </w:rPr>
            </w:pPr>
            <w:r w:rsidRPr="00DF6BD3">
              <w:rPr>
                <w:szCs w:val="22"/>
              </w:rPr>
              <w:t>Avis public d'adoption :</w:t>
            </w:r>
            <w:r w:rsidRPr="00DF6BD3">
              <w:rPr>
                <w:szCs w:val="22"/>
              </w:rPr>
              <w:tab/>
            </w:r>
            <w:r>
              <w:rPr>
                <w:szCs w:val="22"/>
              </w:rPr>
              <w:t xml:space="preserve">             </w:t>
            </w:r>
            <w:r w:rsidRPr="00DF6BD3">
              <w:rPr>
                <w:szCs w:val="22"/>
              </w:rPr>
              <w:t>1</w:t>
            </w:r>
            <w:r w:rsidR="00D16A2F">
              <w:rPr>
                <w:szCs w:val="22"/>
              </w:rPr>
              <w:t>7</w:t>
            </w:r>
            <w:r w:rsidRPr="00DF6BD3">
              <w:rPr>
                <w:szCs w:val="22"/>
              </w:rPr>
              <w:t xml:space="preserve"> décembre 2018</w:t>
            </w:r>
          </w:p>
          <w:p w:rsidR="00DF6BD3" w:rsidRPr="00DF6BD3" w:rsidRDefault="00DF6BD3" w:rsidP="00DF6BD3">
            <w:pPr>
              <w:jc w:val="both"/>
              <w:rPr>
                <w:szCs w:val="22"/>
              </w:rPr>
            </w:pPr>
            <w:r w:rsidRPr="00DF6BD3">
              <w:rPr>
                <w:szCs w:val="22"/>
              </w:rPr>
              <w:t xml:space="preserve">Certificat d'affichage : </w:t>
            </w:r>
            <w:r w:rsidRPr="00DF6BD3">
              <w:rPr>
                <w:szCs w:val="22"/>
              </w:rPr>
              <w:tab/>
            </w:r>
            <w:r w:rsidRPr="00DF6BD3">
              <w:rPr>
                <w:szCs w:val="22"/>
              </w:rPr>
              <w:tab/>
              <w:t>17 décembre 2018</w:t>
            </w:r>
          </w:p>
          <w:p w:rsidR="00DF6BD3" w:rsidRPr="00DF6BD3" w:rsidRDefault="00DF6BD3" w:rsidP="00DF6BD3">
            <w:pPr>
              <w:jc w:val="both"/>
              <w:rPr>
                <w:szCs w:val="22"/>
              </w:rPr>
            </w:pPr>
            <w:r w:rsidRPr="00DF6BD3">
              <w:rPr>
                <w:szCs w:val="22"/>
              </w:rPr>
              <w:t xml:space="preserve">Mise en vigueur : </w:t>
            </w:r>
            <w:r w:rsidRPr="00DF6BD3">
              <w:rPr>
                <w:szCs w:val="22"/>
              </w:rPr>
              <w:tab/>
            </w:r>
            <w:r w:rsidRPr="00DF6BD3">
              <w:rPr>
                <w:szCs w:val="22"/>
              </w:rPr>
              <w:tab/>
              <w:t>17 décembre 2018</w:t>
            </w:r>
          </w:p>
          <w:p w:rsidR="00DF6BD3" w:rsidRPr="00DF6BD3" w:rsidRDefault="00DF6BD3" w:rsidP="00DF6BD3">
            <w:pPr>
              <w:jc w:val="both"/>
              <w:rPr>
                <w:szCs w:val="22"/>
              </w:rPr>
            </w:pPr>
          </w:p>
          <w:p w:rsidR="00DF6BD3" w:rsidRDefault="00DF6BD3" w:rsidP="00BB2321">
            <w:pPr>
              <w:rPr>
                <w:rFonts w:ascii="Arial" w:hAnsi="Arial" w:cs="Arial"/>
                <w:sz w:val="20"/>
              </w:rPr>
            </w:pPr>
          </w:p>
          <w:p w:rsidR="00DF6BD3" w:rsidRPr="00BB2321" w:rsidRDefault="00DF6BD3" w:rsidP="00BB2321">
            <w:pPr>
              <w:rPr>
                <w:rFonts w:ascii="Arial" w:hAnsi="Arial" w:cs="Arial"/>
                <w:sz w:val="20"/>
              </w:rPr>
            </w:pPr>
          </w:p>
          <w:p w:rsidR="00D446BD" w:rsidRPr="00D446BD" w:rsidRDefault="00D446BD" w:rsidP="00D446BD"/>
        </w:tc>
      </w:tr>
      <w:tr w:rsidR="00DA3617" w:rsidRPr="003859AD" w:rsidTr="00F41154">
        <w:tc>
          <w:tcPr>
            <w:tcW w:w="1838" w:type="dxa"/>
          </w:tcPr>
          <w:p w:rsidR="00DA3617" w:rsidRPr="00A41CEE" w:rsidRDefault="00DA3617" w:rsidP="0034194F">
            <w:pPr>
              <w:rPr>
                <w:b/>
              </w:rPr>
            </w:pPr>
          </w:p>
        </w:tc>
        <w:tc>
          <w:tcPr>
            <w:tcW w:w="7806" w:type="dxa"/>
          </w:tcPr>
          <w:p w:rsidR="00DA3617" w:rsidRDefault="00752DD0" w:rsidP="00DA3617">
            <w:pPr>
              <w:pStyle w:val="Titre1"/>
              <w:outlineLvl w:val="0"/>
            </w:pPr>
            <w:bookmarkStart w:id="27" w:name="_Toc532300960"/>
            <w:r>
              <w:t>PÉRIODE DE QUESTIONS</w:t>
            </w:r>
            <w:bookmarkEnd w:id="27"/>
          </w:p>
          <w:p w:rsidR="00D01CDD" w:rsidRDefault="00D01CDD" w:rsidP="00D01CDD"/>
          <w:p w:rsidR="00D01CDD" w:rsidRDefault="004641B3" w:rsidP="00D01CDD">
            <w:r>
              <w:t>Le budget est présenté et expliqué sur format PowerPoint par le maire assisté de la directrice générale et secrétaire-trésorière aux citoyens présents.</w:t>
            </w:r>
          </w:p>
          <w:p w:rsidR="004641B3" w:rsidRDefault="004641B3" w:rsidP="00D01CDD"/>
          <w:p w:rsidR="004641B3" w:rsidRDefault="004641B3" w:rsidP="00D01CDD">
            <w:r>
              <w:t>La période de questions porte exclusivement sur les prévisions budgétaires de l’exercice financier 2019et sur le programme triennal des immobilisations des exercices financiers 2019, 2020 et 2021.</w:t>
            </w:r>
          </w:p>
          <w:p w:rsidR="004641B3" w:rsidRDefault="004641B3" w:rsidP="00D01CDD"/>
          <w:p w:rsidR="004641B3" w:rsidRPr="00D01CDD" w:rsidRDefault="004641B3" w:rsidP="00D01CDD">
            <w:r>
              <w:t>La période de questions a duré environ xx minutes.</w:t>
            </w:r>
          </w:p>
          <w:p w:rsidR="00B97853" w:rsidRPr="00B97853" w:rsidRDefault="00B97853" w:rsidP="00B97853"/>
        </w:tc>
      </w:tr>
      <w:tr w:rsidR="00DA3617" w:rsidRPr="003859AD" w:rsidTr="00F41154">
        <w:tc>
          <w:tcPr>
            <w:tcW w:w="1838" w:type="dxa"/>
          </w:tcPr>
          <w:p w:rsidR="00DA3617" w:rsidRPr="00A41CEE" w:rsidRDefault="005664F8" w:rsidP="0034194F">
            <w:pPr>
              <w:rPr>
                <w:b/>
              </w:rPr>
            </w:pPr>
            <w:r>
              <w:rPr>
                <w:b/>
              </w:rPr>
              <w:t>2018-12-220</w:t>
            </w:r>
          </w:p>
        </w:tc>
        <w:tc>
          <w:tcPr>
            <w:tcW w:w="7806" w:type="dxa"/>
          </w:tcPr>
          <w:p w:rsidR="00DA3617" w:rsidRDefault="00D446BD" w:rsidP="00DA3617">
            <w:pPr>
              <w:pStyle w:val="Titre1"/>
              <w:outlineLvl w:val="0"/>
            </w:pPr>
            <w:bookmarkStart w:id="28" w:name="_Toc532300961"/>
            <w:r>
              <w:t xml:space="preserve">LEVÉE DE LA </w:t>
            </w:r>
            <w:r w:rsidR="00326089">
              <w:t>SÉANCE EXTRAORDINAIRE</w:t>
            </w:r>
            <w:bookmarkEnd w:id="28"/>
          </w:p>
          <w:p w:rsidR="006B27A6" w:rsidRDefault="006B27A6" w:rsidP="006B27A6"/>
          <w:p w:rsidR="006B27A6" w:rsidRDefault="006B27A6" w:rsidP="006B27A6">
            <w:r>
              <w:t>Étant</w:t>
            </w:r>
            <w:r w:rsidR="001828AB">
              <w:t xml:space="preserve"> 21h27</w:t>
            </w:r>
            <w:bookmarkStart w:id="29" w:name="_GoBack"/>
            <w:bookmarkEnd w:id="29"/>
            <w:r>
              <w:t xml:space="preserve">, </w:t>
            </w:r>
            <w:r w:rsidRPr="008E1920">
              <w:t>IL EST DÛMENT PROPOSÉ</w:t>
            </w:r>
            <w:r>
              <w:t xml:space="preserve"> par</w:t>
            </w:r>
            <w:r w:rsidR="001828AB">
              <w:t xml:space="preserve"> Corina Lupu </w:t>
            </w:r>
            <w:r>
              <w:t xml:space="preserve">et unanimement résolu de lever </w:t>
            </w:r>
            <w:r w:rsidR="00FE77C8">
              <w:t xml:space="preserve">la séance </w:t>
            </w:r>
            <w:r w:rsidR="005A675C">
              <w:t>extraordinaire du 13 décembre 2018.</w:t>
            </w:r>
            <w:r>
              <w:t xml:space="preserve"> </w:t>
            </w:r>
          </w:p>
          <w:p w:rsidR="00FE77C8" w:rsidRPr="006B27A6" w:rsidRDefault="00FE77C8" w:rsidP="006B27A6"/>
        </w:tc>
      </w:tr>
    </w:tbl>
    <w:p w:rsidR="000F2DD2" w:rsidRDefault="000F2DD2" w:rsidP="006C4AC5"/>
    <w:p w:rsidR="000B413D" w:rsidRDefault="000B413D" w:rsidP="006C4AC5"/>
    <w:p w:rsidR="000B413D" w:rsidRDefault="000B413D" w:rsidP="006C4AC5"/>
    <w:p w:rsidR="000B413D" w:rsidRDefault="000B413D" w:rsidP="006C4AC5"/>
    <w:p w:rsidR="000B413D" w:rsidRDefault="000B413D" w:rsidP="000B413D"/>
    <w:p w:rsidR="000B413D" w:rsidRDefault="000B413D" w:rsidP="000B413D">
      <w:r>
        <w:tab/>
      </w:r>
      <w:r>
        <w:tab/>
      </w:r>
      <w:r>
        <w:tab/>
        <w:t>_______________________________________________</w:t>
      </w:r>
    </w:p>
    <w:p w:rsidR="000B413D" w:rsidRDefault="000B413D" w:rsidP="000B413D">
      <w:r>
        <w:tab/>
      </w:r>
      <w:r>
        <w:tab/>
      </w:r>
      <w:r>
        <w:tab/>
      </w:r>
      <w:r>
        <w:tab/>
      </w:r>
      <w:r>
        <w:tab/>
        <w:t>Alison Drylie</w:t>
      </w:r>
    </w:p>
    <w:p w:rsidR="000B413D" w:rsidRDefault="000B413D" w:rsidP="000B413D">
      <w:r>
        <w:tab/>
      </w:r>
      <w:r>
        <w:tab/>
      </w:r>
      <w:r>
        <w:tab/>
        <w:t xml:space="preserve">       Directrice générale et secrétaire-trésorière</w:t>
      </w:r>
    </w:p>
    <w:p w:rsidR="000B413D" w:rsidRDefault="000B413D" w:rsidP="000B413D"/>
    <w:p w:rsidR="000B413D" w:rsidRDefault="000B413D" w:rsidP="000B413D"/>
    <w:p w:rsidR="000B413D" w:rsidRDefault="000B413D" w:rsidP="000B413D"/>
    <w:p w:rsidR="000B413D" w:rsidRDefault="000B413D" w:rsidP="000B413D">
      <w:r>
        <w:tab/>
      </w:r>
      <w:r>
        <w:tab/>
      </w:r>
      <w:r>
        <w:tab/>
        <w:t>_______________________________________________</w:t>
      </w:r>
    </w:p>
    <w:p w:rsidR="000B413D" w:rsidRDefault="000B413D" w:rsidP="000B413D">
      <w:r>
        <w:tab/>
      </w:r>
      <w:r>
        <w:tab/>
      </w:r>
      <w:r>
        <w:tab/>
      </w:r>
      <w:r>
        <w:tab/>
      </w:r>
      <w:r>
        <w:tab/>
        <w:t xml:space="preserve">René Pelletier </w:t>
      </w:r>
    </w:p>
    <w:p w:rsidR="000B413D" w:rsidRPr="003859AD" w:rsidRDefault="000B413D" w:rsidP="000B413D">
      <w:r>
        <w:tab/>
      </w:r>
      <w:r>
        <w:tab/>
      </w:r>
      <w:r>
        <w:tab/>
      </w:r>
      <w:r>
        <w:tab/>
      </w:r>
      <w:r>
        <w:tab/>
        <w:t xml:space="preserve">     Maire</w:t>
      </w:r>
    </w:p>
    <w:sectPr w:rsidR="000B413D" w:rsidRPr="003859AD" w:rsidSect="00F41154">
      <w:pgSz w:w="12240" w:h="20160" w:code="5"/>
      <w:pgMar w:top="1843" w:right="180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27" w:hanging="360"/>
      </w:pPr>
      <w:rPr>
        <w:rFonts w:ascii="Calibri" w:hAnsi="Calibri" w:cs="Calibri"/>
        <w:b w:val="0"/>
        <w:bCs w:val="0"/>
        <w:w w:val="100"/>
        <w:sz w:val="22"/>
        <w:szCs w:val="22"/>
      </w:rPr>
    </w:lvl>
    <w:lvl w:ilvl="1">
      <w:numFmt w:val="bullet"/>
      <w:lvlText w:val="•"/>
      <w:lvlJc w:val="left"/>
      <w:pPr>
        <w:ind w:left="1035" w:hanging="360"/>
      </w:pPr>
    </w:lvl>
    <w:lvl w:ilvl="2">
      <w:numFmt w:val="bullet"/>
      <w:lvlText w:val="•"/>
      <w:lvlJc w:val="left"/>
      <w:pPr>
        <w:ind w:left="1250" w:hanging="360"/>
      </w:pPr>
    </w:lvl>
    <w:lvl w:ilvl="3">
      <w:numFmt w:val="bullet"/>
      <w:lvlText w:val="•"/>
      <w:lvlJc w:val="left"/>
      <w:pPr>
        <w:ind w:left="1466" w:hanging="360"/>
      </w:pPr>
    </w:lvl>
    <w:lvl w:ilvl="4">
      <w:numFmt w:val="bullet"/>
      <w:lvlText w:val="•"/>
      <w:lvlJc w:val="left"/>
      <w:pPr>
        <w:ind w:left="1681" w:hanging="360"/>
      </w:pPr>
    </w:lvl>
    <w:lvl w:ilvl="5">
      <w:numFmt w:val="bullet"/>
      <w:lvlText w:val="•"/>
      <w:lvlJc w:val="left"/>
      <w:pPr>
        <w:ind w:left="1897" w:hanging="360"/>
      </w:pPr>
    </w:lvl>
    <w:lvl w:ilvl="6">
      <w:numFmt w:val="bullet"/>
      <w:lvlText w:val="•"/>
      <w:lvlJc w:val="left"/>
      <w:pPr>
        <w:ind w:left="2112" w:hanging="360"/>
      </w:pPr>
    </w:lvl>
    <w:lvl w:ilvl="7">
      <w:numFmt w:val="bullet"/>
      <w:lvlText w:val="•"/>
      <w:lvlJc w:val="left"/>
      <w:pPr>
        <w:ind w:left="2327" w:hanging="360"/>
      </w:pPr>
    </w:lvl>
    <w:lvl w:ilvl="8">
      <w:numFmt w:val="bullet"/>
      <w:lvlText w:val="•"/>
      <w:lvlJc w:val="left"/>
      <w:pPr>
        <w:ind w:left="2543" w:hanging="360"/>
      </w:pPr>
    </w:lvl>
  </w:abstractNum>
  <w:abstractNum w:abstractNumId="1" w15:restartNumberingAfterBreak="0">
    <w:nsid w:val="00000403"/>
    <w:multiLevelType w:val="multilevel"/>
    <w:tmpl w:val="00000886"/>
    <w:lvl w:ilvl="0">
      <w:numFmt w:val="bullet"/>
      <w:lvlText w:val="-"/>
      <w:lvlJc w:val="left"/>
      <w:pPr>
        <w:ind w:left="827" w:hanging="360"/>
      </w:pPr>
      <w:rPr>
        <w:rFonts w:ascii="Calibri" w:hAnsi="Calibri" w:cs="Calibri"/>
        <w:b w:val="0"/>
        <w:bCs w:val="0"/>
        <w:w w:val="100"/>
        <w:sz w:val="22"/>
        <w:szCs w:val="22"/>
      </w:rPr>
    </w:lvl>
    <w:lvl w:ilvl="1">
      <w:numFmt w:val="bullet"/>
      <w:lvlText w:val="•"/>
      <w:lvlJc w:val="left"/>
      <w:pPr>
        <w:ind w:left="1035" w:hanging="360"/>
      </w:pPr>
    </w:lvl>
    <w:lvl w:ilvl="2">
      <w:numFmt w:val="bullet"/>
      <w:lvlText w:val="•"/>
      <w:lvlJc w:val="left"/>
      <w:pPr>
        <w:ind w:left="1250" w:hanging="360"/>
      </w:pPr>
    </w:lvl>
    <w:lvl w:ilvl="3">
      <w:numFmt w:val="bullet"/>
      <w:lvlText w:val="•"/>
      <w:lvlJc w:val="left"/>
      <w:pPr>
        <w:ind w:left="1466" w:hanging="360"/>
      </w:pPr>
    </w:lvl>
    <w:lvl w:ilvl="4">
      <w:numFmt w:val="bullet"/>
      <w:lvlText w:val="•"/>
      <w:lvlJc w:val="left"/>
      <w:pPr>
        <w:ind w:left="1681" w:hanging="360"/>
      </w:pPr>
    </w:lvl>
    <w:lvl w:ilvl="5">
      <w:numFmt w:val="bullet"/>
      <w:lvlText w:val="•"/>
      <w:lvlJc w:val="left"/>
      <w:pPr>
        <w:ind w:left="1897" w:hanging="360"/>
      </w:pPr>
    </w:lvl>
    <w:lvl w:ilvl="6">
      <w:numFmt w:val="bullet"/>
      <w:lvlText w:val="•"/>
      <w:lvlJc w:val="left"/>
      <w:pPr>
        <w:ind w:left="2112" w:hanging="360"/>
      </w:pPr>
    </w:lvl>
    <w:lvl w:ilvl="7">
      <w:numFmt w:val="bullet"/>
      <w:lvlText w:val="•"/>
      <w:lvlJc w:val="left"/>
      <w:pPr>
        <w:ind w:left="2327" w:hanging="360"/>
      </w:pPr>
    </w:lvl>
    <w:lvl w:ilvl="8">
      <w:numFmt w:val="bullet"/>
      <w:lvlText w:val="•"/>
      <w:lvlJc w:val="left"/>
      <w:pPr>
        <w:ind w:left="2543" w:hanging="360"/>
      </w:pPr>
    </w:lvl>
  </w:abstractNum>
  <w:abstractNum w:abstractNumId="2" w15:restartNumberingAfterBreak="0">
    <w:nsid w:val="00000404"/>
    <w:multiLevelType w:val="multilevel"/>
    <w:tmpl w:val="00000887"/>
    <w:lvl w:ilvl="0">
      <w:numFmt w:val="bullet"/>
      <w:lvlText w:val="-"/>
      <w:lvlJc w:val="left"/>
      <w:pPr>
        <w:ind w:left="827" w:hanging="360"/>
      </w:pPr>
      <w:rPr>
        <w:rFonts w:ascii="Calibri" w:hAnsi="Calibri" w:cs="Calibri"/>
        <w:b w:val="0"/>
        <w:bCs w:val="0"/>
        <w:w w:val="100"/>
        <w:sz w:val="22"/>
        <w:szCs w:val="22"/>
      </w:rPr>
    </w:lvl>
    <w:lvl w:ilvl="1">
      <w:numFmt w:val="bullet"/>
      <w:lvlText w:val="•"/>
      <w:lvlJc w:val="left"/>
      <w:pPr>
        <w:ind w:left="1035" w:hanging="360"/>
      </w:pPr>
    </w:lvl>
    <w:lvl w:ilvl="2">
      <w:numFmt w:val="bullet"/>
      <w:lvlText w:val="•"/>
      <w:lvlJc w:val="left"/>
      <w:pPr>
        <w:ind w:left="1250" w:hanging="360"/>
      </w:pPr>
    </w:lvl>
    <w:lvl w:ilvl="3">
      <w:numFmt w:val="bullet"/>
      <w:lvlText w:val="•"/>
      <w:lvlJc w:val="left"/>
      <w:pPr>
        <w:ind w:left="1466" w:hanging="360"/>
      </w:pPr>
    </w:lvl>
    <w:lvl w:ilvl="4">
      <w:numFmt w:val="bullet"/>
      <w:lvlText w:val="•"/>
      <w:lvlJc w:val="left"/>
      <w:pPr>
        <w:ind w:left="1681" w:hanging="360"/>
      </w:pPr>
    </w:lvl>
    <w:lvl w:ilvl="5">
      <w:numFmt w:val="bullet"/>
      <w:lvlText w:val="•"/>
      <w:lvlJc w:val="left"/>
      <w:pPr>
        <w:ind w:left="1897" w:hanging="360"/>
      </w:pPr>
    </w:lvl>
    <w:lvl w:ilvl="6">
      <w:numFmt w:val="bullet"/>
      <w:lvlText w:val="•"/>
      <w:lvlJc w:val="left"/>
      <w:pPr>
        <w:ind w:left="2112" w:hanging="360"/>
      </w:pPr>
    </w:lvl>
    <w:lvl w:ilvl="7">
      <w:numFmt w:val="bullet"/>
      <w:lvlText w:val="•"/>
      <w:lvlJc w:val="left"/>
      <w:pPr>
        <w:ind w:left="2327" w:hanging="360"/>
      </w:pPr>
    </w:lvl>
    <w:lvl w:ilvl="8">
      <w:numFmt w:val="bullet"/>
      <w:lvlText w:val="•"/>
      <w:lvlJc w:val="left"/>
      <w:pPr>
        <w:ind w:left="2543" w:hanging="360"/>
      </w:pPr>
    </w:lvl>
  </w:abstractNum>
  <w:abstractNum w:abstractNumId="3" w15:restartNumberingAfterBreak="0">
    <w:nsid w:val="05146E84"/>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B46EE3"/>
    <w:multiLevelType w:val="hybridMultilevel"/>
    <w:tmpl w:val="2158A53A"/>
    <w:lvl w:ilvl="0" w:tplc="CC709DBE">
      <w:start w:val="2"/>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1DD34AA"/>
    <w:multiLevelType w:val="hybridMultilevel"/>
    <w:tmpl w:val="2F064C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BFA239D"/>
    <w:multiLevelType w:val="multilevel"/>
    <w:tmpl w:val="DDCC854C"/>
    <w:lvl w:ilvl="0">
      <w:start w:val="1"/>
      <w:numFmt w:val="decimal"/>
      <w:pStyle w:val="Titre1"/>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C250B88"/>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7"/>
  </w:num>
  <w:num w:numId="3">
    <w:abstractNumId w:val="5"/>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210"/>
    <w:rsid w:val="00014101"/>
    <w:rsid w:val="00030B35"/>
    <w:rsid w:val="00030BE5"/>
    <w:rsid w:val="00032654"/>
    <w:rsid w:val="0004165C"/>
    <w:rsid w:val="0006678C"/>
    <w:rsid w:val="000676E2"/>
    <w:rsid w:val="000A4E40"/>
    <w:rsid w:val="000B413D"/>
    <w:rsid w:val="000C3803"/>
    <w:rsid w:val="000F2DD2"/>
    <w:rsid w:val="00112D93"/>
    <w:rsid w:val="00122721"/>
    <w:rsid w:val="0012563E"/>
    <w:rsid w:val="001828AB"/>
    <w:rsid w:val="00205653"/>
    <w:rsid w:val="002209A1"/>
    <w:rsid w:val="00255D82"/>
    <w:rsid w:val="00266066"/>
    <w:rsid w:val="0027042E"/>
    <w:rsid w:val="00275007"/>
    <w:rsid w:val="002824F4"/>
    <w:rsid w:val="002A5CA4"/>
    <w:rsid w:val="002C1210"/>
    <w:rsid w:val="002D5030"/>
    <w:rsid w:val="00315B5D"/>
    <w:rsid w:val="00326089"/>
    <w:rsid w:val="0034194F"/>
    <w:rsid w:val="003859AD"/>
    <w:rsid w:val="00394BF6"/>
    <w:rsid w:val="003A7580"/>
    <w:rsid w:val="003B4362"/>
    <w:rsid w:val="003B4966"/>
    <w:rsid w:val="003F07B3"/>
    <w:rsid w:val="003F2290"/>
    <w:rsid w:val="00446612"/>
    <w:rsid w:val="00457885"/>
    <w:rsid w:val="004641B3"/>
    <w:rsid w:val="0047681B"/>
    <w:rsid w:val="00494A1F"/>
    <w:rsid w:val="004A5314"/>
    <w:rsid w:val="004C7AAA"/>
    <w:rsid w:val="004E1C6F"/>
    <w:rsid w:val="00500668"/>
    <w:rsid w:val="005664F8"/>
    <w:rsid w:val="005A675C"/>
    <w:rsid w:val="005D0D67"/>
    <w:rsid w:val="006A05B3"/>
    <w:rsid w:val="006B27A6"/>
    <w:rsid w:val="006B3D14"/>
    <w:rsid w:val="006C4AC5"/>
    <w:rsid w:val="006E5E5B"/>
    <w:rsid w:val="006F24AC"/>
    <w:rsid w:val="00706A9A"/>
    <w:rsid w:val="007331C2"/>
    <w:rsid w:val="00741ECC"/>
    <w:rsid w:val="00752DD0"/>
    <w:rsid w:val="007642C2"/>
    <w:rsid w:val="00776A97"/>
    <w:rsid w:val="0078073B"/>
    <w:rsid w:val="007C4C11"/>
    <w:rsid w:val="008030C5"/>
    <w:rsid w:val="00830818"/>
    <w:rsid w:val="0083559F"/>
    <w:rsid w:val="008820EA"/>
    <w:rsid w:val="00896015"/>
    <w:rsid w:val="008A15C6"/>
    <w:rsid w:val="008A62CF"/>
    <w:rsid w:val="008D6EC7"/>
    <w:rsid w:val="008E1920"/>
    <w:rsid w:val="00927B4B"/>
    <w:rsid w:val="00934E41"/>
    <w:rsid w:val="00947F44"/>
    <w:rsid w:val="00960D67"/>
    <w:rsid w:val="009B12E4"/>
    <w:rsid w:val="009C1277"/>
    <w:rsid w:val="009D295E"/>
    <w:rsid w:val="00A22C44"/>
    <w:rsid w:val="00A41CEE"/>
    <w:rsid w:val="00A44B9A"/>
    <w:rsid w:val="00A76EB7"/>
    <w:rsid w:val="00B132E2"/>
    <w:rsid w:val="00B20991"/>
    <w:rsid w:val="00B73CF1"/>
    <w:rsid w:val="00B833B6"/>
    <w:rsid w:val="00B9341E"/>
    <w:rsid w:val="00B97853"/>
    <w:rsid w:val="00BA3545"/>
    <w:rsid w:val="00BB2321"/>
    <w:rsid w:val="00BD67F1"/>
    <w:rsid w:val="00BF64BF"/>
    <w:rsid w:val="00C0246A"/>
    <w:rsid w:val="00C13236"/>
    <w:rsid w:val="00C165D6"/>
    <w:rsid w:val="00C52BB5"/>
    <w:rsid w:val="00C76AA5"/>
    <w:rsid w:val="00C94603"/>
    <w:rsid w:val="00C97F02"/>
    <w:rsid w:val="00CA7DD0"/>
    <w:rsid w:val="00CB1BEA"/>
    <w:rsid w:val="00CD6525"/>
    <w:rsid w:val="00CD775C"/>
    <w:rsid w:val="00CF483B"/>
    <w:rsid w:val="00D01CDD"/>
    <w:rsid w:val="00D16A2F"/>
    <w:rsid w:val="00D26825"/>
    <w:rsid w:val="00D4365D"/>
    <w:rsid w:val="00D446BD"/>
    <w:rsid w:val="00D57C9D"/>
    <w:rsid w:val="00D76560"/>
    <w:rsid w:val="00D772B3"/>
    <w:rsid w:val="00DA3617"/>
    <w:rsid w:val="00DF6BD3"/>
    <w:rsid w:val="00E10260"/>
    <w:rsid w:val="00E1398B"/>
    <w:rsid w:val="00EB34A9"/>
    <w:rsid w:val="00EC6B47"/>
    <w:rsid w:val="00EE7930"/>
    <w:rsid w:val="00F26B16"/>
    <w:rsid w:val="00F32CCD"/>
    <w:rsid w:val="00F41154"/>
    <w:rsid w:val="00F648FF"/>
    <w:rsid w:val="00F94959"/>
    <w:rsid w:val="00F9784D"/>
    <w:rsid w:val="00FA296C"/>
    <w:rsid w:val="00FC516D"/>
    <w:rsid w:val="00FC59B7"/>
    <w:rsid w:val="00FE77C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1F44"/>
  <w15:chartTrackingRefBased/>
  <w15:docId w15:val="{6615D617-5665-4A0F-9697-49F80448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194F"/>
    <w:pPr>
      <w:spacing w:after="0" w:line="240" w:lineRule="auto"/>
    </w:pPr>
    <w:rPr>
      <w:rFonts w:ascii="Times New Roman" w:eastAsia="Times New Roman" w:hAnsi="Times New Roman" w:cs="Times New Roman"/>
      <w:szCs w:val="20"/>
      <w:lang w:eastAsia="fr-CA"/>
    </w:rPr>
  </w:style>
  <w:style w:type="paragraph" w:styleId="Titre1">
    <w:name w:val="heading 1"/>
    <w:basedOn w:val="Paragraphedeliste"/>
    <w:next w:val="Normal"/>
    <w:link w:val="Titre1Car"/>
    <w:uiPriority w:val="9"/>
    <w:qFormat/>
    <w:rsid w:val="00DA3617"/>
    <w:pPr>
      <w:numPr>
        <w:numId w:val="1"/>
      </w:numPr>
      <w:outlineLvl w:val="0"/>
    </w:pPr>
    <w:rPr>
      <w:b/>
      <w:u w:val="single"/>
    </w:rPr>
  </w:style>
  <w:style w:type="paragraph" w:styleId="Titre2">
    <w:name w:val="heading 2"/>
    <w:basedOn w:val="Titre1"/>
    <w:next w:val="Normal"/>
    <w:link w:val="Titre2Car"/>
    <w:uiPriority w:val="9"/>
    <w:unhideWhenUsed/>
    <w:qFormat/>
    <w:rsid w:val="009C1277"/>
    <w:pPr>
      <w:numPr>
        <w:ilvl w:val="1"/>
      </w:numPr>
      <w:ind w:left="601" w:hanging="574"/>
      <w:outlineLvl w:val="1"/>
    </w:pPr>
    <w:rPr>
      <w:rFonts w:eastAsiaTheme="minorHAnsi"/>
      <w:b w:val="0"/>
      <w:lang w:eastAsia="en-US"/>
    </w:rPr>
  </w:style>
  <w:style w:type="paragraph" w:styleId="Titre6">
    <w:name w:val="heading 6"/>
    <w:basedOn w:val="Normal"/>
    <w:next w:val="Normal"/>
    <w:link w:val="Titre6Car"/>
    <w:qFormat/>
    <w:rsid w:val="008D6EC7"/>
    <w:pPr>
      <w:spacing w:before="240" w:after="60"/>
      <w:outlineLvl w:val="5"/>
    </w:pPr>
    <w:rPr>
      <w:b/>
      <w:bCs/>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E10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6Car">
    <w:name w:val="Titre 6 Car"/>
    <w:basedOn w:val="Policepardfaut"/>
    <w:link w:val="Titre6"/>
    <w:rsid w:val="008D6EC7"/>
    <w:rPr>
      <w:rFonts w:ascii="Times New Roman" w:eastAsia="Times New Roman" w:hAnsi="Times New Roman" w:cs="Times New Roman"/>
      <w:b/>
      <w:bCs/>
      <w:lang w:eastAsia="fr-CA"/>
    </w:rPr>
  </w:style>
  <w:style w:type="paragraph" w:styleId="Corpsdetexte2">
    <w:name w:val="Body Text 2"/>
    <w:basedOn w:val="Normal"/>
    <w:link w:val="Corpsdetexte2Car"/>
    <w:rsid w:val="008D6EC7"/>
    <w:pPr>
      <w:jc w:val="both"/>
    </w:pPr>
    <w:rPr>
      <w:szCs w:val="22"/>
      <w:lang w:eastAsia="x-none"/>
    </w:rPr>
  </w:style>
  <w:style w:type="character" w:customStyle="1" w:styleId="Corpsdetexte2Car">
    <w:name w:val="Corps de texte 2 Car"/>
    <w:basedOn w:val="Policepardfaut"/>
    <w:link w:val="Corpsdetexte2"/>
    <w:rsid w:val="008D6EC7"/>
    <w:rPr>
      <w:rFonts w:ascii="Arial" w:eastAsia="Times New Roman" w:hAnsi="Arial" w:cs="Times New Roman"/>
      <w:lang w:eastAsia="x-none"/>
    </w:rPr>
  </w:style>
  <w:style w:type="paragraph" w:styleId="Paragraphedeliste">
    <w:name w:val="List Paragraph"/>
    <w:basedOn w:val="Normal"/>
    <w:uiPriority w:val="34"/>
    <w:qFormat/>
    <w:rsid w:val="003859AD"/>
    <w:pPr>
      <w:ind w:left="720"/>
      <w:contextualSpacing/>
    </w:pPr>
  </w:style>
  <w:style w:type="character" w:customStyle="1" w:styleId="Titre1Car">
    <w:name w:val="Titre 1 Car"/>
    <w:basedOn w:val="Policepardfaut"/>
    <w:link w:val="Titre1"/>
    <w:uiPriority w:val="9"/>
    <w:rsid w:val="00DA3617"/>
    <w:rPr>
      <w:rFonts w:ascii="Times New Roman" w:eastAsia="Times New Roman" w:hAnsi="Times New Roman" w:cs="Times New Roman"/>
      <w:b/>
      <w:szCs w:val="20"/>
      <w:u w:val="single"/>
      <w:lang w:eastAsia="fr-CA"/>
    </w:rPr>
  </w:style>
  <w:style w:type="paragraph" w:customStyle="1" w:styleId="Default">
    <w:name w:val="Default"/>
    <w:rsid w:val="0034194F"/>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9C1277"/>
    <w:rPr>
      <w:rFonts w:ascii="Times New Roman" w:hAnsi="Times New Roman" w:cs="Times New Roman"/>
      <w:szCs w:val="20"/>
      <w:u w:val="single"/>
    </w:rPr>
  </w:style>
  <w:style w:type="paragraph" w:styleId="En-ttedetabledesmatires">
    <w:name w:val="TOC Heading"/>
    <w:basedOn w:val="Titre1"/>
    <w:next w:val="Normal"/>
    <w:uiPriority w:val="39"/>
    <w:unhideWhenUsed/>
    <w:qFormat/>
    <w:rsid w:val="00394BF6"/>
    <w:pPr>
      <w:keepNext/>
      <w:keepLines/>
      <w:numPr>
        <w:numId w:val="0"/>
      </w:numPr>
      <w:spacing w:before="240" w:line="259" w:lineRule="auto"/>
      <w:contextualSpacing w:val="0"/>
      <w:outlineLvl w:val="9"/>
    </w:pPr>
    <w:rPr>
      <w:rFonts w:asciiTheme="majorHAnsi" w:eastAsiaTheme="majorEastAsia" w:hAnsiTheme="majorHAnsi" w:cstheme="majorBidi"/>
      <w:b w:val="0"/>
      <w:color w:val="A5A5A5" w:themeColor="accent1" w:themeShade="BF"/>
      <w:sz w:val="32"/>
      <w:szCs w:val="32"/>
      <w:u w:val="none"/>
    </w:rPr>
  </w:style>
  <w:style w:type="paragraph" w:styleId="TM1">
    <w:name w:val="toc 1"/>
    <w:basedOn w:val="Normal"/>
    <w:next w:val="Normal"/>
    <w:autoRedefine/>
    <w:uiPriority w:val="39"/>
    <w:unhideWhenUsed/>
    <w:rsid w:val="00394BF6"/>
    <w:pPr>
      <w:spacing w:after="100"/>
    </w:pPr>
  </w:style>
  <w:style w:type="paragraph" w:styleId="TM2">
    <w:name w:val="toc 2"/>
    <w:basedOn w:val="Normal"/>
    <w:next w:val="Normal"/>
    <w:autoRedefine/>
    <w:uiPriority w:val="39"/>
    <w:unhideWhenUsed/>
    <w:rsid w:val="00394BF6"/>
    <w:pPr>
      <w:spacing w:after="100"/>
      <w:ind w:left="220"/>
    </w:pPr>
  </w:style>
  <w:style w:type="character" w:styleId="Lienhypertexte">
    <w:name w:val="Hyperlink"/>
    <w:basedOn w:val="Policepardfaut"/>
    <w:uiPriority w:val="99"/>
    <w:unhideWhenUsed/>
    <w:rsid w:val="00394BF6"/>
    <w:rPr>
      <w:color w:val="5F5F5F" w:themeColor="hyperlink"/>
      <w:u w:val="single"/>
    </w:rPr>
  </w:style>
  <w:style w:type="paragraph" w:customStyle="1" w:styleId="m-3159361747663815227m4901582995692275760msolistparagraph">
    <w:name w:val="m_-3159361747663815227m_4901582995692275760msolistparagraph"/>
    <w:basedOn w:val="Normal"/>
    <w:rsid w:val="00C13236"/>
    <w:pPr>
      <w:spacing w:before="100" w:beforeAutospacing="1" w:after="100" w:afterAutospacing="1"/>
    </w:pPr>
    <w:rPr>
      <w:sz w:val="24"/>
      <w:szCs w:val="24"/>
    </w:rPr>
  </w:style>
  <w:style w:type="paragraph" w:styleId="Textedebulles">
    <w:name w:val="Balloon Text"/>
    <w:basedOn w:val="Normal"/>
    <w:link w:val="TextedebullesCar"/>
    <w:uiPriority w:val="99"/>
    <w:semiHidden/>
    <w:unhideWhenUsed/>
    <w:rsid w:val="00B20991"/>
    <w:rPr>
      <w:rFonts w:ascii="Segoe UI" w:hAnsi="Segoe UI" w:cs="Segoe UI"/>
      <w:sz w:val="18"/>
      <w:szCs w:val="18"/>
    </w:rPr>
  </w:style>
  <w:style w:type="character" w:customStyle="1" w:styleId="TextedebullesCar">
    <w:name w:val="Texte de bulles Car"/>
    <w:basedOn w:val="Policepardfaut"/>
    <w:link w:val="Textedebulles"/>
    <w:uiPriority w:val="99"/>
    <w:semiHidden/>
    <w:rsid w:val="00B20991"/>
    <w:rPr>
      <w:rFonts w:ascii="Segoe UI" w:eastAsia="Times New Roman" w:hAnsi="Segoe UI" w:cs="Segoe UI"/>
      <w:sz w:val="18"/>
      <w:szCs w:val="18"/>
      <w:lang w:eastAsia="fr-CA"/>
    </w:rPr>
  </w:style>
  <w:style w:type="paragraph" w:styleId="Corpsdetexte">
    <w:name w:val="Body Text"/>
    <w:basedOn w:val="Normal"/>
    <w:link w:val="CorpsdetexteCar"/>
    <w:uiPriority w:val="99"/>
    <w:semiHidden/>
    <w:unhideWhenUsed/>
    <w:rsid w:val="00BB2321"/>
    <w:pPr>
      <w:spacing w:after="120"/>
    </w:pPr>
  </w:style>
  <w:style w:type="character" w:customStyle="1" w:styleId="CorpsdetexteCar">
    <w:name w:val="Corps de texte Car"/>
    <w:basedOn w:val="Policepardfaut"/>
    <w:link w:val="Corpsdetexte"/>
    <w:uiPriority w:val="99"/>
    <w:semiHidden/>
    <w:rsid w:val="00BB2321"/>
    <w:rPr>
      <w:rFonts w:ascii="Times New Roman" w:eastAsia="Times New Roman" w:hAnsi="Times New Roman" w:cs="Times New Roman"/>
      <w:szCs w:val="20"/>
      <w:lang w:eastAsia="fr-CA"/>
    </w:rPr>
  </w:style>
  <w:style w:type="table" w:styleId="Trameclaire-Accent6">
    <w:name w:val="Light Shading Accent 6"/>
    <w:basedOn w:val="TableauNormal"/>
    <w:uiPriority w:val="60"/>
    <w:semiHidden/>
    <w:unhideWhenUsed/>
    <w:rsid w:val="0078073B"/>
    <w:pPr>
      <w:spacing w:after="0" w:line="240" w:lineRule="auto"/>
    </w:pPr>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3205239">
      <w:bodyDiv w:val="1"/>
      <w:marLeft w:val="0"/>
      <w:marRight w:val="0"/>
      <w:marTop w:val="0"/>
      <w:marBottom w:val="0"/>
      <w:divBdr>
        <w:top w:val="none" w:sz="0" w:space="0" w:color="auto"/>
        <w:left w:val="none" w:sz="0" w:space="0" w:color="auto"/>
        <w:bottom w:val="none" w:sz="0" w:space="0" w:color="auto"/>
        <w:right w:val="none" w:sz="0" w:space="0" w:color="auto"/>
      </w:divBdr>
    </w:div>
    <w:div w:id="207273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Nuances de gri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362E8-6D3B-4817-9732-33623F91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6061</TotalTime>
  <Pages>6</Pages>
  <Words>1843</Words>
  <Characters>10139</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Gagnon</dc:creator>
  <cp:keywords/>
  <dc:description/>
  <cp:lastModifiedBy>Jean-François Albert</cp:lastModifiedBy>
  <cp:revision>95</cp:revision>
  <cp:lastPrinted>2018-04-16T18:46:00Z</cp:lastPrinted>
  <dcterms:created xsi:type="dcterms:W3CDTF">2018-04-12T15:14:00Z</dcterms:created>
  <dcterms:modified xsi:type="dcterms:W3CDTF">2018-12-14T15:18:00Z</dcterms:modified>
</cp:coreProperties>
</file>